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C9" w:rsidRPr="009E77DD" w:rsidRDefault="00956FC9" w:rsidP="008E5DF3">
      <w:pPr>
        <w:jc w:val="center"/>
        <w:rPr>
          <w:rFonts w:ascii="Arial" w:hAnsi="Arial" w:cs="Arial"/>
          <w:b/>
          <w:sz w:val="24"/>
          <w:szCs w:val="24"/>
          <w:u w:val="single"/>
        </w:rPr>
      </w:pPr>
      <w:r w:rsidRPr="009E77DD">
        <w:rPr>
          <w:noProof/>
          <w:sz w:val="24"/>
          <w:szCs w:val="24"/>
          <w:lang w:eastAsia="en-GB"/>
        </w:rPr>
        <w:drawing>
          <wp:anchor distT="0" distB="0" distL="114300" distR="114300" simplePos="0" relativeHeight="251658240" behindDoc="1" locked="0" layoutInCell="1" allowOverlap="1" wp14:anchorId="371EBFC8" wp14:editId="08DD2ECF">
            <wp:simplePos x="0" y="0"/>
            <wp:positionH relativeFrom="column">
              <wp:posOffset>4214136</wp:posOffset>
            </wp:positionH>
            <wp:positionV relativeFrom="paragraph">
              <wp:posOffset>387</wp:posOffset>
            </wp:positionV>
            <wp:extent cx="2227580" cy="548005"/>
            <wp:effectExtent l="0" t="0" r="1270" b="4445"/>
            <wp:wrapTight wrapText="bothSides">
              <wp:wrapPolygon edited="0">
                <wp:start x="0" y="0"/>
                <wp:lineTo x="0" y="21024"/>
                <wp:lineTo x="21428" y="21024"/>
                <wp:lineTo x="21428" y="0"/>
                <wp:lineTo x="0" y="0"/>
              </wp:wrapPolygon>
            </wp:wrapTight>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758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DA7" w:rsidRPr="009E77DD" w:rsidRDefault="00645DA7" w:rsidP="008E5DF3">
      <w:pPr>
        <w:jc w:val="center"/>
        <w:rPr>
          <w:rFonts w:ascii="Arial" w:hAnsi="Arial" w:cs="Arial"/>
          <w:b/>
          <w:sz w:val="24"/>
          <w:szCs w:val="24"/>
          <w:u w:val="single"/>
        </w:rPr>
      </w:pPr>
    </w:p>
    <w:p w:rsidR="00645DA7" w:rsidRPr="009E77DD" w:rsidRDefault="00645DA7" w:rsidP="008E5DF3">
      <w:pPr>
        <w:jc w:val="center"/>
        <w:rPr>
          <w:rFonts w:ascii="Arial" w:hAnsi="Arial" w:cs="Arial"/>
          <w:b/>
          <w:sz w:val="24"/>
          <w:szCs w:val="24"/>
          <w:u w:val="single"/>
        </w:rPr>
      </w:pPr>
    </w:p>
    <w:p w:rsidR="00AD57BD" w:rsidRPr="009376BB" w:rsidRDefault="00731019" w:rsidP="008E5DF3">
      <w:pPr>
        <w:jc w:val="center"/>
        <w:rPr>
          <w:rFonts w:ascii="Arial" w:hAnsi="Arial" w:cs="Arial"/>
          <w:b/>
          <w:sz w:val="28"/>
          <w:szCs w:val="24"/>
          <w:u w:val="single"/>
        </w:rPr>
      </w:pPr>
      <w:r w:rsidRPr="009376BB">
        <w:rPr>
          <w:rFonts w:ascii="Arial" w:hAnsi="Arial" w:cs="Arial"/>
          <w:b/>
          <w:sz w:val="28"/>
          <w:szCs w:val="24"/>
          <w:u w:val="single"/>
        </w:rPr>
        <w:t>SUBMISSION ON THE</w:t>
      </w:r>
      <w:r w:rsidR="00A970F7" w:rsidRPr="009376BB">
        <w:rPr>
          <w:rFonts w:ascii="Arial" w:hAnsi="Arial" w:cs="Arial"/>
          <w:b/>
          <w:sz w:val="28"/>
          <w:szCs w:val="24"/>
          <w:u w:val="single"/>
        </w:rPr>
        <w:t xml:space="preserve"> NORMATIVE FRAMEWORK OF THE ISSUES EXAMINED AT THE</w:t>
      </w:r>
      <w:r w:rsidRPr="009376BB">
        <w:rPr>
          <w:rFonts w:ascii="Arial" w:hAnsi="Arial" w:cs="Arial"/>
          <w:b/>
          <w:sz w:val="28"/>
          <w:szCs w:val="24"/>
          <w:u w:val="single"/>
        </w:rPr>
        <w:t xml:space="preserve"> </w:t>
      </w:r>
      <w:r w:rsidR="00A970F7" w:rsidRPr="009376BB">
        <w:rPr>
          <w:rFonts w:ascii="Arial" w:hAnsi="Arial" w:cs="Arial"/>
          <w:b/>
          <w:sz w:val="28"/>
          <w:szCs w:val="24"/>
          <w:u w:val="single"/>
        </w:rPr>
        <w:t>IX SESSION OF THE OPEN-ENDED WORKING GROUP ON AGEING</w:t>
      </w:r>
    </w:p>
    <w:p w:rsidR="005C0AFB" w:rsidRPr="009E77DD" w:rsidRDefault="005C0AFB" w:rsidP="008E5DF3">
      <w:pPr>
        <w:jc w:val="center"/>
        <w:rPr>
          <w:rFonts w:ascii="Arial" w:hAnsi="Arial" w:cs="Arial"/>
          <w:b/>
          <w:sz w:val="24"/>
          <w:szCs w:val="24"/>
          <w:u w:val="single"/>
        </w:rPr>
      </w:pPr>
    </w:p>
    <w:p w:rsidR="001D527A" w:rsidRPr="009376BB" w:rsidRDefault="0021064A" w:rsidP="00AD57BD">
      <w:pPr>
        <w:rPr>
          <w:rFonts w:ascii="Arial" w:hAnsi="Arial" w:cs="Arial"/>
          <w:sz w:val="24"/>
          <w:szCs w:val="24"/>
        </w:rPr>
      </w:pPr>
      <w:r w:rsidRPr="009376BB">
        <w:rPr>
          <w:rFonts w:ascii="Arial" w:hAnsi="Arial" w:cs="Arial"/>
          <w:sz w:val="24"/>
          <w:szCs w:val="24"/>
        </w:rPr>
        <w:t>This submission sets out</w:t>
      </w:r>
      <w:r w:rsidR="00731019" w:rsidRPr="009376BB">
        <w:rPr>
          <w:rFonts w:ascii="Arial" w:hAnsi="Arial" w:cs="Arial"/>
          <w:sz w:val="24"/>
          <w:szCs w:val="24"/>
        </w:rPr>
        <w:t xml:space="preserve"> </w:t>
      </w:r>
      <w:r w:rsidR="007F1E76" w:rsidRPr="009376BB">
        <w:rPr>
          <w:rFonts w:ascii="Arial" w:hAnsi="Arial" w:cs="Arial"/>
          <w:sz w:val="24"/>
          <w:szCs w:val="24"/>
        </w:rPr>
        <w:t>analysis by</w:t>
      </w:r>
      <w:r w:rsidR="00731019" w:rsidRPr="009376BB">
        <w:rPr>
          <w:rFonts w:ascii="Arial" w:hAnsi="Arial" w:cs="Arial"/>
          <w:sz w:val="24"/>
          <w:szCs w:val="24"/>
        </w:rPr>
        <w:t xml:space="preserve"> the Equality and Human Rights Commission</w:t>
      </w:r>
      <w:r w:rsidR="001D527A" w:rsidRPr="009376BB">
        <w:rPr>
          <w:rStyle w:val="EndnoteReference"/>
          <w:rFonts w:ascii="Arial" w:hAnsi="Arial" w:cs="Arial"/>
          <w:sz w:val="24"/>
          <w:szCs w:val="24"/>
        </w:rPr>
        <w:endnoteReference w:id="1"/>
      </w:r>
      <w:r w:rsidR="001D527A" w:rsidRPr="009376BB">
        <w:rPr>
          <w:rFonts w:ascii="Arial" w:hAnsi="Arial" w:cs="Arial"/>
          <w:sz w:val="24"/>
          <w:szCs w:val="24"/>
        </w:rPr>
        <w:t xml:space="preserve"> on the normative elements that </w:t>
      </w:r>
      <w:r w:rsidR="00930A90" w:rsidRPr="009376BB">
        <w:rPr>
          <w:rFonts w:ascii="Arial" w:hAnsi="Arial" w:cs="Arial"/>
          <w:sz w:val="24"/>
          <w:szCs w:val="24"/>
        </w:rPr>
        <w:t>c</w:t>
      </w:r>
      <w:r w:rsidR="001D527A" w:rsidRPr="009376BB">
        <w:rPr>
          <w:rFonts w:ascii="Arial" w:hAnsi="Arial" w:cs="Arial"/>
          <w:sz w:val="24"/>
          <w:szCs w:val="24"/>
        </w:rPr>
        <w:t>ould</w:t>
      </w:r>
      <w:r w:rsidR="003678B8" w:rsidRPr="009376BB">
        <w:rPr>
          <w:rFonts w:ascii="Arial" w:hAnsi="Arial" w:cs="Arial"/>
          <w:sz w:val="24"/>
          <w:szCs w:val="24"/>
        </w:rPr>
        <w:t xml:space="preserve"> </w:t>
      </w:r>
      <w:r w:rsidR="004B3368" w:rsidRPr="009376BB">
        <w:rPr>
          <w:rFonts w:ascii="Arial" w:hAnsi="Arial" w:cs="Arial"/>
          <w:sz w:val="24"/>
          <w:szCs w:val="24"/>
        </w:rPr>
        <w:t>form</w:t>
      </w:r>
      <w:r w:rsidR="001D527A" w:rsidRPr="009376BB">
        <w:rPr>
          <w:rFonts w:ascii="Arial" w:hAnsi="Arial" w:cs="Arial"/>
          <w:sz w:val="24"/>
          <w:szCs w:val="24"/>
        </w:rPr>
        <w:t xml:space="preserve"> part of potential international standard</w:t>
      </w:r>
      <w:r w:rsidR="00956FC9" w:rsidRPr="009376BB">
        <w:rPr>
          <w:rFonts w:ascii="Arial" w:hAnsi="Arial" w:cs="Arial"/>
          <w:sz w:val="24"/>
          <w:szCs w:val="24"/>
        </w:rPr>
        <w:t>s</w:t>
      </w:r>
      <w:r w:rsidR="001D527A" w:rsidRPr="009376BB">
        <w:rPr>
          <w:rFonts w:ascii="Arial" w:hAnsi="Arial" w:cs="Arial"/>
          <w:sz w:val="24"/>
          <w:szCs w:val="24"/>
        </w:rPr>
        <w:t xml:space="preserve"> on older people</w:t>
      </w:r>
      <w:r w:rsidR="008E7454" w:rsidRPr="009376BB">
        <w:rPr>
          <w:rFonts w:ascii="Arial" w:hAnsi="Arial" w:cs="Arial"/>
          <w:sz w:val="24"/>
          <w:szCs w:val="24"/>
        </w:rPr>
        <w:t>’s</w:t>
      </w:r>
      <w:r w:rsidR="00203847" w:rsidRPr="009376BB">
        <w:rPr>
          <w:rFonts w:ascii="Arial" w:hAnsi="Arial" w:cs="Arial"/>
          <w:sz w:val="24"/>
          <w:szCs w:val="24"/>
        </w:rPr>
        <w:t xml:space="preserve"> rights</w:t>
      </w:r>
      <w:r w:rsidR="001D527A" w:rsidRPr="009376BB">
        <w:rPr>
          <w:rFonts w:ascii="Arial" w:hAnsi="Arial" w:cs="Arial"/>
          <w:sz w:val="24"/>
          <w:szCs w:val="24"/>
        </w:rPr>
        <w:t xml:space="preserve"> to </w:t>
      </w:r>
      <w:r w:rsidR="001D527A" w:rsidRPr="009376BB">
        <w:rPr>
          <w:rFonts w:ascii="Arial" w:hAnsi="Arial" w:cs="Arial"/>
          <w:b/>
          <w:sz w:val="24"/>
          <w:szCs w:val="24"/>
        </w:rPr>
        <w:t>autonomy and independence</w:t>
      </w:r>
      <w:r w:rsidR="001D527A" w:rsidRPr="009376BB">
        <w:rPr>
          <w:rFonts w:ascii="Arial" w:hAnsi="Arial" w:cs="Arial"/>
          <w:sz w:val="24"/>
          <w:szCs w:val="24"/>
        </w:rPr>
        <w:t xml:space="preserve"> and </w:t>
      </w:r>
      <w:r w:rsidR="001D527A" w:rsidRPr="009376BB">
        <w:rPr>
          <w:rFonts w:ascii="Arial" w:hAnsi="Arial" w:cs="Arial"/>
          <w:b/>
          <w:sz w:val="24"/>
          <w:szCs w:val="24"/>
        </w:rPr>
        <w:t>palliative and</w:t>
      </w:r>
      <w:r w:rsidR="001D527A" w:rsidRPr="009376BB">
        <w:rPr>
          <w:rFonts w:ascii="Arial" w:hAnsi="Arial" w:cs="Arial"/>
          <w:sz w:val="24"/>
          <w:szCs w:val="24"/>
        </w:rPr>
        <w:t xml:space="preserve"> </w:t>
      </w:r>
      <w:r w:rsidR="001D527A" w:rsidRPr="009376BB">
        <w:rPr>
          <w:rFonts w:ascii="Arial" w:hAnsi="Arial" w:cs="Arial"/>
          <w:b/>
          <w:sz w:val="24"/>
          <w:szCs w:val="24"/>
        </w:rPr>
        <w:t>long-term care</w:t>
      </w:r>
      <w:r w:rsidR="001D527A" w:rsidRPr="009376BB">
        <w:rPr>
          <w:rFonts w:ascii="Arial" w:hAnsi="Arial" w:cs="Arial"/>
          <w:sz w:val="24"/>
          <w:szCs w:val="24"/>
        </w:rPr>
        <w:t>.</w:t>
      </w:r>
      <w:r w:rsidR="007F1E76" w:rsidRPr="009376BB">
        <w:rPr>
          <w:rFonts w:ascii="Arial" w:hAnsi="Arial" w:cs="Arial"/>
          <w:sz w:val="24"/>
          <w:szCs w:val="24"/>
        </w:rPr>
        <w:t xml:space="preserve"> </w:t>
      </w:r>
      <w:r w:rsidR="008D57F3" w:rsidRPr="009376BB">
        <w:rPr>
          <w:rFonts w:ascii="Arial" w:hAnsi="Arial" w:cs="Arial"/>
          <w:sz w:val="24"/>
          <w:szCs w:val="24"/>
        </w:rPr>
        <w:t>This</w:t>
      </w:r>
      <w:r w:rsidR="007F1E76" w:rsidRPr="009376BB">
        <w:rPr>
          <w:rFonts w:ascii="Arial" w:hAnsi="Arial" w:cs="Arial"/>
          <w:sz w:val="24"/>
          <w:szCs w:val="24"/>
        </w:rPr>
        <w:t xml:space="preserve"> is an early contribution to discussions, and is likely to be refined based on further discussions with civil society organisations and other stakeholders</w:t>
      </w:r>
      <w:r w:rsidR="001B7AB2" w:rsidRPr="009376BB">
        <w:rPr>
          <w:rFonts w:ascii="Arial" w:hAnsi="Arial" w:cs="Arial"/>
          <w:sz w:val="24"/>
          <w:szCs w:val="24"/>
        </w:rPr>
        <w:t>, particularly older people themselves.</w:t>
      </w:r>
    </w:p>
    <w:p w:rsidR="001D527A" w:rsidRPr="009376BB" w:rsidRDefault="001D527A" w:rsidP="00B957B1">
      <w:pPr>
        <w:rPr>
          <w:rFonts w:ascii="Arial" w:hAnsi="Arial" w:cs="Arial"/>
          <w:sz w:val="24"/>
          <w:szCs w:val="24"/>
        </w:rPr>
      </w:pPr>
      <w:r w:rsidRPr="009376BB">
        <w:rPr>
          <w:rFonts w:ascii="Arial" w:hAnsi="Arial" w:cs="Arial"/>
          <w:sz w:val="24"/>
          <w:szCs w:val="24"/>
        </w:rPr>
        <w:t xml:space="preserve">The development of the normative framework should recognise that older people are not a homogeneous group, and must be sensitive to intersectionality and the range of lived experience of older people. In addition, the full range of rights for older people </w:t>
      </w:r>
      <w:proofErr w:type="gramStart"/>
      <w:r w:rsidRPr="009376BB">
        <w:rPr>
          <w:rFonts w:ascii="Arial" w:hAnsi="Arial" w:cs="Arial"/>
          <w:sz w:val="24"/>
          <w:szCs w:val="24"/>
        </w:rPr>
        <w:t>should be considered</w:t>
      </w:r>
      <w:proofErr w:type="gramEnd"/>
      <w:r w:rsidRPr="009376BB">
        <w:rPr>
          <w:rFonts w:ascii="Arial" w:hAnsi="Arial" w:cs="Arial"/>
          <w:sz w:val="24"/>
          <w:szCs w:val="24"/>
        </w:rPr>
        <w:t xml:space="preserve"> as indivisible, interdependent and interrelated.</w:t>
      </w:r>
      <w:r w:rsidRPr="009376BB">
        <w:rPr>
          <w:rStyle w:val="EndnoteReference"/>
          <w:rFonts w:ascii="Arial" w:hAnsi="Arial" w:cs="Arial"/>
          <w:sz w:val="24"/>
          <w:szCs w:val="24"/>
        </w:rPr>
        <w:endnoteReference w:id="2"/>
      </w:r>
      <w:r w:rsidRPr="009376BB">
        <w:rPr>
          <w:rFonts w:ascii="Arial" w:hAnsi="Arial" w:cs="Arial"/>
          <w:sz w:val="24"/>
          <w:szCs w:val="24"/>
        </w:rPr>
        <w:t xml:space="preserve"> </w:t>
      </w:r>
      <w:r w:rsidRPr="009376BB">
        <w:rPr>
          <w:rStyle w:val="EndnoteReference"/>
          <w:rFonts w:ascii="Arial" w:hAnsi="Arial" w:cs="Arial"/>
          <w:sz w:val="24"/>
          <w:szCs w:val="24"/>
        </w:rPr>
        <w:endnoteReference w:id="3"/>
      </w:r>
      <w:r w:rsidRPr="009376BB">
        <w:rPr>
          <w:rFonts w:ascii="Arial" w:hAnsi="Arial" w:cs="Arial"/>
          <w:sz w:val="24"/>
          <w:szCs w:val="24"/>
        </w:rPr>
        <w:t xml:space="preserve"> </w:t>
      </w:r>
    </w:p>
    <w:p w:rsidR="001D527A" w:rsidRPr="009376BB" w:rsidRDefault="001D527A" w:rsidP="00BF6A1D">
      <w:pPr>
        <w:rPr>
          <w:rFonts w:ascii="Arial" w:hAnsi="Arial" w:cs="Arial"/>
          <w:sz w:val="24"/>
          <w:szCs w:val="24"/>
        </w:rPr>
      </w:pPr>
      <w:r w:rsidRPr="009376BB">
        <w:rPr>
          <w:rFonts w:ascii="Arial" w:hAnsi="Arial" w:cs="Arial"/>
          <w:sz w:val="24"/>
          <w:szCs w:val="24"/>
        </w:rPr>
        <w:t>While a number of existing international and regional human rights treaties</w:t>
      </w:r>
      <w:r w:rsidR="000E4A5A" w:rsidRPr="009376BB">
        <w:rPr>
          <w:rFonts w:ascii="Arial" w:hAnsi="Arial" w:cs="Arial"/>
          <w:sz w:val="24"/>
          <w:szCs w:val="24"/>
        </w:rPr>
        <w:t xml:space="preserve"> </w:t>
      </w:r>
      <w:r w:rsidRPr="009376BB">
        <w:rPr>
          <w:rFonts w:ascii="Arial" w:hAnsi="Arial" w:cs="Arial"/>
          <w:sz w:val="24"/>
          <w:szCs w:val="24"/>
        </w:rPr>
        <w:t>help to illuminate key normative elements of the rights of older people,</w:t>
      </w:r>
      <w:r w:rsidR="00FC7395" w:rsidRPr="009376BB">
        <w:rPr>
          <w:rFonts w:ascii="Arial" w:hAnsi="Arial" w:cs="Arial"/>
          <w:sz w:val="24"/>
          <w:szCs w:val="24"/>
        </w:rPr>
        <w:t xml:space="preserve"> </w:t>
      </w:r>
      <w:r w:rsidRPr="009376BB">
        <w:rPr>
          <w:rFonts w:ascii="Arial" w:hAnsi="Arial" w:cs="Arial"/>
          <w:sz w:val="24"/>
          <w:szCs w:val="24"/>
        </w:rPr>
        <w:t>analysis has revealed gaps in protection of older people’s rights</w:t>
      </w:r>
      <w:r w:rsidR="00203847" w:rsidRPr="009376BB">
        <w:rPr>
          <w:rFonts w:ascii="Arial" w:hAnsi="Arial" w:cs="Arial"/>
          <w:sz w:val="24"/>
          <w:szCs w:val="24"/>
        </w:rPr>
        <w:t>.</w:t>
      </w:r>
      <w:r w:rsidRPr="009376BB">
        <w:rPr>
          <w:rStyle w:val="EndnoteReference"/>
          <w:rFonts w:ascii="Arial" w:hAnsi="Arial" w:cs="Arial"/>
          <w:sz w:val="24"/>
          <w:szCs w:val="24"/>
        </w:rPr>
        <w:endnoteReference w:id="4"/>
      </w:r>
      <w:r w:rsidRPr="009376BB">
        <w:rPr>
          <w:rFonts w:ascii="Arial" w:hAnsi="Arial" w:cs="Arial"/>
          <w:sz w:val="24"/>
          <w:szCs w:val="24"/>
        </w:rPr>
        <w:t xml:space="preserve"> This submission sets out relevant provisions within the current international legal framework, highlights key gaps, and </w:t>
      </w:r>
      <w:r w:rsidR="007F1E76" w:rsidRPr="009376BB">
        <w:rPr>
          <w:rFonts w:ascii="Arial" w:hAnsi="Arial" w:cs="Arial"/>
          <w:sz w:val="24"/>
          <w:szCs w:val="24"/>
        </w:rPr>
        <w:t xml:space="preserve">suggests </w:t>
      </w:r>
      <w:r w:rsidRPr="009376BB">
        <w:rPr>
          <w:rFonts w:ascii="Arial" w:hAnsi="Arial" w:cs="Arial"/>
          <w:sz w:val="24"/>
          <w:szCs w:val="24"/>
        </w:rPr>
        <w:t xml:space="preserve">potential normative elements that would bridge </w:t>
      </w:r>
      <w:r w:rsidR="00203D77" w:rsidRPr="009376BB">
        <w:rPr>
          <w:rFonts w:ascii="Arial" w:hAnsi="Arial" w:cs="Arial"/>
          <w:sz w:val="24"/>
          <w:szCs w:val="24"/>
        </w:rPr>
        <w:t xml:space="preserve">these </w:t>
      </w:r>
      <w:r w:rsidRPr="009376BB">
        <w:rPr>
          <w:rFonts w:ascii="Arial" w:hAnsi="Arial" w:cs="Arial"/>
          <w:sz w:val="24"/>
          <w:szCs w:val="24"/>
        </w:rPr>
        <w:t xml:space="preserve">gaps and </w:t>
      </w:r>
      <w:r w:rsidR="00896FD6" w:rsidRPr="009376BB">
        <w:rPr>
          <w:rFonts w:ascii="Arial" w:hAnsi="Arial" w:cs="Arial"/>
          <w:sz w:val="24"/>
          <w:szCs w:val="24"/>
        </w:rPr>
        <w:t xml:space="preserve">could </w:t>
      </w:r>
      <w:r w:rsidRPr="009376BB">
        <w:rPr>
          <w:rFonts w:ascii="Arial" w:hAnsi="Arial" w:cs="Arial"/>
          <w:sz w:val="24"/>
          <w:szCs w:val="24"/>
        </w:rPr>
        <w:t>empower older people to claim their rights.</w:t>
      </w:r>
    </w:p>
    <w:p w:rsidR="00385959" w:rsidRPr="009E77DD" w:rsidRDefault="00385959" w:rsidP="00BF6A1D">
      <w:pPr>
        <w:rPr>
          <w:rFonts w:ascii="Arial" w:hAnsi="Arial" w:cs="Arial"/>
          <w:sz w:val="24"/>
          <w:szCs w:val="24"/>
        </w:rPr>
      </w:pPr>
    </w:p>
    <w:p w:rsidR="009E77DD" w:rsidRPr="009E77DD" w:rsidRDefault="009E77DD" w:rsidP="00BF6A1D">
      <w:pPr>
        <w:rPr>
          <w:rFonts w:ascii="Arial" w:hAnsi="Arial" w:cs="Arial"/>
          <w:sz w:val="24"/>
          <w:szCs w:val="24"/>
        </w:rPr>
      </w:pPr>
    </w:p>
    <w:p w:rsidR="009E77DD" w:rsidRDefault="009E77DD" w:rsidP="00BF6A1D">
      <w:pPr>
        <w:rPr>
          <w:rFonts w:ascii="Arial" w:hAnsi="Arial" w:cs="Arial"/>
          <w:sz w:val="24"/>
          <w:szCs w:val="24"/>
        </w:rPr>
      </w:pPr>
    </w:p>
    <w:p w:rsidR="009E77DD" w:rsidRDefault="009E77DD" w:rsidP="00BF6A1D">
      <w:pPr>
        <w:rPr>
          <w:rFonts w:ascii="Arial" w:hAnsi="Arial" w:cs="Arial"/>
          <w:sz w:val="24"/>
          <w:szCs w:val="24"/>
        </w:rPr>
      </w:pPr>
    </w:p>
    <w:p w:rsidR="009E77DD" w:rsidRDefault="009E77DD" w:rsidP="00BF6A1D">
      <w:pPr>
        <w:rPr>
          <w:rFonts w:ascii="Arial" w:hAnsi="Arial" w:cs="Arial"/>
          <w:sz w:val="24"/>
          <w:szCs w:val="24"/>
        </w:rPr>
      </w:pPr>
    </w:p>
    <w:p w:rsidR="009E77DD" w:rsidRDefault="009E77DD" w:rsidP="00BF6A1D">
      <w:pPr>
        <w:rPr>
          <w:rFonts w:ascii="Arial" w:hAnsi="Arial" w:cs="Arial"/>
          <w:sz w:val="24"/>
          <w:szCs w:val="24"/>
        </w:rPr>
      </w:pPr>
    </w:p>
    <w:p w:rsidR="009E77DD" w:rsidRDefault="009E77DD" w:rsidP="00BF6A1D">
      <w:pPr>
        <w:rPr>
          <w:rFonts w:ascii="Arial" w:hAnsi="Arial" w:cs="Arial"/>
          <w:sz w:val="24"/>
          <w:szCs w:val="24"/>
        </w:rPr>
      </w:pPr>
    </w:p>
    <w:p w:rsidR="009376BB" w:rsidRDefault="009376BB" w:rsidP="00BF6A1D">
      <w:pPr>
        <w:rPr>
          <w:rFonts w:ascii="Arial" w:hAnsi="Arial" w:cs="Arial"/>
          <w:sz w:val="24"/>
          <w:szCs w:val="24"/>
        </w:rPr>
      </w:pPr>
    </w:p>
    <w:p w:rsidR="009376BB" w:rsidRDefault="009376BB" w:rsidP="00BF6A1D">
      <w:pPr>
        <w:rPr>
          <w:rFonts w:ascii="Arial" w:hAnsi="Arial" w:cs="Arial"/>
          <w:sz w:val="24"/>
          <w:szCs w:val="24"/>
        </w:rPr>
      </w:pPr>
    </w:p>
    <w:p w:rsidR="009376BB" w:rsidRDefault="009376BB" w:rsidP="00BF6A1D">
      <w:pPr>
        <w:rPr>
          <w:rFonts w:ascii="Arial" w:hAnsi="Arial" w:cs="Arial"/>
          <w:sz w:val="24"/>
          <w:szCs w:val="24"/>
        </w:rPr>
      </w:pPr>
    </w:p>
    <w:p w:rsidR="009376BB" w:rsidRDefault="009376BB" w:rsidP="00BF6A1D">
      <w:pPr>
        <w:rPr>
          <w:rFonts w:ascii="Arial" w:hAnsi="Arial" w:cs="Arial"/>
          <w:sz w:val="24"/>
          <w:szCs w:val="24"/>
        </w:rPr>
      </w:pPr>
    </w:p>
    <w:p w:rsidR="009E77DD" w:rsidRDefault="009E77DD" w:rsidP="00BF6A1D">
      <w:pPr>
        <w:rPr>
          <w:rFonts w:ascii="Arial" w:hAnsi="Arial" w:cs="Arial"/>
          <w:sz w:val="24"/>
          <w:szCs w:val="24"/>
        </w:rPr>
      </w:pPr>
    </w:p>
    <w:p w:rsidR="001D527A" w:rsidRPr="009376BB" w:rsidRDefault="001D527A" w:rsidP="00ED7A82">
      <w:pPr>
        <w:pStyle w:val="ListParagraph"/>
        <w:numPr>
          <w:ilvl w:val="0"/>
          <w:numId w:val="6"/>
        </w:numPr>
        <w:spacing w:after="0" w:line="240" w:lineRule="auto"/>
        <w:rPr>
          <w:rFonts w:ascii="Arial" w:hAnsi="Arial" w:cs="Arial"/>
          <w:b/>
          <w:sz w:val="28"/>
          <w:szCs w:val="24"/>
          <w:u w:val="single"/>
        </w:rPr>
      </w:pPr>
      <w:r w:rsidRPr="009376BB">
        <w:rPr>
          <w:rFonts w:ascii="Arial" w:hAnsi="Arial" w:cs="Arial"/>
          <w:b/>
          <w:sz w:val="28"/>
          <w:szCs w:val="24"/>
          <w:u w:val="single"/>
        </w:rPr>
        <w:lastRenderedPageBreak/>
        <w:t>AUTONOMY AND INDEPENDENCE</w:t>
      </w:r>
    </w:p>
    <w:p w:rsidR="001D527A" w:rsidRPr="009E77DD" w:rsidRDefault="001D527A" w:rsidP="001E612E">
      <w:pPr>
        <w:spacing w:after="0" w:line="240" w:lineRule="auto"/>
        <w:rPr>
          <w:rFonts w:ascii="Arial" w:hAnsi="Arial" w:cs="Arial"/>
          <w:b/>
          <w:sz w:val="24"/>
          <w:szCs w:val="24"/>
          <w:u w:val="single"/>
        </w:rPr>
      </w:pPr>
    </w:p>
    <w:p w:rsidR="001D527A" w:rsidRPr="009E77DD" w:rsidRDefault="001D527A" w:rsidP="001E612E">
      <w:pPr>
        <w:spacing w:after="0" w:line="240" w:lineRule="auto"/>
        <w:rPr>
          <w:rFonts w:ascii="Arial" w:hAnsi="Arial" w:cs="Arial"/>
          <w:b/>
          <w:sz w:val="24"/>
          <w:szCs w:val="24"/>
        </w:rPr>
      </w:pPr>
      <w:r w:rsidRPr="009E77DD">
        <w:rPr>
          <w:rFonts w:ascii="Arial" w:hAnsi="Arial" w:cs="Arial"/>
          <w:b/>
          <w:sz w:val="24"/>
          <w:szCs w:val="24"/>
        </w:rPr>
        <w:t>Current framework</w:t>
      </w:r>
      <w:r w:rsidR="003E6840">
        <w:rPr>
          <w:rFonts w:ascii="Arial" w:hAnsi="Arial" w:cs="Arial"/>
          <w:b/>
          <w:sz w:val="24"/>
          <w:szCs w:val="24"/>
        </w:rPr>
        <w:t>:</w:t>
      </w:r>
    </w:p>
    <w:p w:rsidR="001D527A" w:rsidRPr="009E77DD" w:rsidRDefault="001D527A" w:rsidP="001E612E">
      <w:pPr>
        <w:pStyle w:val="ListParagraph"/>
        <w:spacing w:after="0" w:line="240" w:lineRule="auto"/>
        <w:ind w:left="360"/>
        <w:rPr>
          <w:rFonts w:ascii="Arial" w:hAnsi="Arial" w:cs="Arial"/>
          <w:b/>
          <w:sz w:val="24"/>
          <w:szCs w:val="24"/>
        </w:rPr>
      </w:pPr>
    </w:p>
    <w:p w:rsidR="001D527A" w:rsidRPr="009E77DD" w:rsidRDefault="001D527A" w:rsidP="00ED7A82">
      <w:pPr>
        <w:pStyle w:val="ListParagraph"/>
        <w:numPr>
          <w:ilvl w:val="0"/>
          <w:numId w:val="4"/>
        </w:numPr>
        <w:spacing w:after="0" w:line="240" w:lineRule="auto"/>
        <w:rPr>
          <w:rFonts w:ascii="Arial" w:hAnsi="Arial" w:cs="Arial"/>
          <w:sz w:val="24"/>
          <w:szCs w:val="24"/>
        </w:rPr>
      </w:pPr>
      <w:r w:rsidRPr="009E77DD">
        <w:rPr>
          <w:rFonts w:ascii="Arial" w:hAnsi="Arial" w:cs="Arial"/>
          <w:i/>
          <w:sz w:val="24"/>
          <w:szCs w:val="24"/>
          <w:u w:val="single"/>
        </w:rPr>
        <w:t>Legal recognition and autonomy in decision-making:</w:t>
      </w:r>
      <w:r w:rsidRPr="009E77DD">
        <w:rPr>
          <w:rFonts w:ascii="Arial" w:hAnsi="Arial" w:cs="Arial"/>
          <w:sz w:val="24"/>
          <w:szCs w:val="24"/>
        </w:rPr>
        <w:t xml:space="preserve"> The right to equ</w:t>
      </w:r>
      <w:r w:rsidR="00EE5069" w:rsidRPr="009E77DD">
        <w:rPr>
          <w:rFonts w:ascii="Arial" w:hAnsi="Arial" w:cs="Arial"/>
          <w:sz w:val="24"/>
          <w:szCs w:val="24"/>
        </w:rPr>
        <w:t>al recognition before the law is enshrined in</w:t>
      </w:r>
      <w:r w:rsidRPr="009E77DD">
        <w:rPr>
          <w:rFonts w:ascii="Arial" w:hAnsi="Arial" w:cs="Arial"/>
          <w:sz w:val="24"/>
          <w:szCs w:val="24"/>
        </w:rPr>
        <w:t xml:space="preserve"> Article 16 of the International Covenant on Civil and Political Rig</w:t>
      </w:r>
      <w:r w:rsidR="00F52380" w:rsidRPr="009E77DD">
        <w:rPr>
          <w:rFonts w:ascii="Arial" w:hAnsi="Arial" w:cs="Arial"/>
          <w:sz w:val="24"/>
          <w:szCs w:val="24"/>
        </w:rPr>
        <w:t>hts (ICCPR)</w:t>
      </w:r>
      <w:r w:rsidR="00144E80" w:rsidRPr="009E77DD">
        <w:rPr>
          <w:rFonts w:ascii="Arial" w:hAnsi="Arial" w:cs="Arial"/>
          <w:sz w:val="24"/>
          <w:szCs w:val="24"/>
        </w:rPr>
        <w:t>.</w:t>
      </w:r>
      <w:r w:rsidR="00EE5069" w:rsidRPr="009E77DD">
        <w:rPr>
          <w:rFonts w:ascii="Arial" w:hAnsi="Arial" w:cs="Arial"/>
          <w:sz w:val="24"/>
          <w:szCs w:val="24"/>
        </w:rPr>
        <w:t xml:space="preserve"> </w:t>
      </w:r>
      <w:r w:rsidRPr="009E77DD">
        <w:rPr>
          <w:rFonts w:ascii="Arial" w:hAnsi="Arial" w:cs="Arial"/>
          <w:sz w:val="24"/>
          <w:szCs w:val="24"/>
        </w:rPr>
        <w:t>Article 12 of the UN Convention on the Rights of Persons with Disabilities (UNCRPD)</w:t>
      </w:r>
      <w:r w:rsidR="009E77DD">
        <w:rPr>
          <w:rFonts w:ascii="Arial" w:hAnsi="Arial" w:cs="Arial"/>
          <w:sz w:val="24"/>
          <w:szCs w:val="24"/>
        </w:rPr>
        <w:t xml:space="preserve"> protects</w:t>
      </w:r>
      <w:r w:rsidR="00144E80" w:rsidRPr="009E77DD">
        <w:rPr>
          <w:rFonts w:ascii="Arial" w:hAnsi="Arial" w:cs="Arial"/>
          <w:sz w:val="24"/>
          <w:szCs w:val="24"/>
        </w:rPr>
        <w:t xml:space="preserve"> this same right in relation to disabled people, and</w:t>
      </w:r>
      <w:r w:rsidR="00297ACC" w:rsidRPr="009E77DD">
        <w:rPr>
          <w:rFonts w:ascii="Arial" w:hAnsi="Arial" w:cs="Arial"/>
          <w:sz w:val="24"/>
          <w:szCs w:val="24"/>
        </w:rPr>
        <w:t xml:space="preserve"> </w:t>
      </w:r>
      <w:r w:rsidR="009E77DD">
        <w:rPr>
          <w:rFonts w:ascii="Arial" w:hAnsi="Arial" w:cs="Arial"/>
          <w:sz w:val="24"/>
          <w:szCs w:val="24"/>
        </w:rPr>
        <w:t xml:space="preserve">requires support for exercising legal capacity </w:t>
      </w:r>
      <w:r w:rsidRPr="009E77DD">
        <w:rPr>
          <w:rFonts w:ascii="Arial" w:hAnsi="Arial" w:cs="Arial"/>
          <w:sz w:val="24"/>
          <w:szCs w:val="24"/>
        </w:rPr>
        <w:t>in ‘all aspects of life’</w:t>
      </w:r>
      <w:r w:rsidR="004B48FE" w:rsidRPr="009E77DD">
        <w:rPr>
          <w:rFonts w:ascii="Arial" w:hAnsi="Arial" w:cs="Arial"/>
          <w:sz w:val="24"/>
          <w:szCs w:val="24"/>
        </w:rPr>
        <w:t xml:space="preserve"> including property and financial affairs,</w:t>
      </w:r>
      <w:r w:rsidR="00144E80" w:rsidRPr="009E77DD">
        <w:rPr>
          <w:rFonts w:ascii="Arial" w:hAnsi="Arial" w:cs="Arial"/>
          <w:sz w:val="24"/>
          <w:szCs w:val="24"/>
        </w:rPr>
        <w:t xml:space="preserve"> as well as </w:t>
      </w:r>
      <w:r w:rsidR="00EE5069" w:rsidRPr="009E77DD">
        <w:rPr>
          <w:rFonts w:ascii="Arial" w:hAnsi="Arial" w:cs="Arial"/>
          <w:sz w:val="24"/>
          <w:szCs w:val="24"/>
        </w:rPr>
        <w:t xml:space="preserve">respect for ‘the rights, will and preferences of the person’. Interpretation </w:t>
      </w:r>
      <w:r w:rsidR="00617F66" w:rsidRPr="009E77DD">
        <w:rPr>
          <w:rFonts w:ascii="Arial" w:hAnsi="Arial" w:cs="Arial"/>
          <w:sz w:val="24"/>
          <w:szCs w:val="24"/>
        </w:rPr>
        <w:t xml:space="preserve">of UNCRPD Article 12 </w:t>
      </w:r>
      <w:r w:rsidR="00EE5069" w:rsidRPr="009E77DD">
        <w:rPr>
          <w:rFonts w:ascii="Arial" w:hAnsi="Arial" w:cs="Arial"/>
          <w:sz w:val="24"/>
          <w:szCs w:val="24"/>
        </w:rPr>
        <w:t>has</w:t>
      </w:r>
      <w:r w:rsidRPr="009E77DD">
        <w:rPr>
          <w:rFonts w:ascii="Arial" w:hAnsi="Arial" w:cs="Arial"/>
          <w:sz w:val="24"/>
          <w:szCs w:val="24"/>
        </w:rPr>
        <w:t xml:space="preserve"> emphasised the importance of moving from ‘the substitute decision-making paradigm to one that is based on supported </w:t>
      </w:r>
      <w:proofErr w:type="gramStart"/>
      <w:r w:rsidRPr="009E77DD">
        <w:rPr>
          <w:rFonts w:ascii="Arial" w:hAnsi="Arial" w:cs="Arial"/>
          <w:sz w:val="24"/>
          <w:szCs w:val="24"/>
        </w:rPr>
        <w:t>decision-making</w:t>
      </w:r>
      <w:proofErr w:type="gramEnd"/>
      <w:r w:rsidRPr="009E77DD">
        <w:rPr>
          <w:rFonts w:ascii="Arial" w:hAnsi="Arial" w:cs="Arial"/>
          <w:sz w:val="24"/>
          <w:szCs w:val="24"/>
        </w:rPr>
        <w:t>’.</w:t>
      </w:r>
      <w:r w:rsidRPr="009E77DD">
        <w:rPr>
          <w:rStyle w:val="EndnoteReference"/>
          <w:rFonts w:ascii="Arial" w:hAnsi="Arial" w:cs="Arial"/>
          <w:sz w:val="24"/>
          <w:szCs w:val="24"/>
        </w:rPr>
        <w:endnoteReference w:id="5"/>
      </w:r>
      <w:r w:rsidRPr="009E77DD">
        <w:rPr>
          <w:rFonts w:ascii="Arial" w:hAnsi="Arial" w:cs="Arial"/>
          <w:sz w:val="24"/>
          <w:szCs w:val="24"/>
        </w:rPr>
        <w:t xml:space="preserve">  At regional level, Article 8 of the European Convention on Human Rights (ECHR) encompasses the right to respect for personal autonomy and dignity, including being involved in</w:t>
      </w:r>
      <w:r w:rsidR="00EE5069" w:rsidRPr="009E77DD">
        <w:rPr>
          <w:rFonts w:ascii="Arial" w:hAnsi="Arial" w:cs="Arial"/>
          <w:sz w:val="24"/>
          <w:szCs w:val="24"/>
        </w:rPr>
        <w:t xml:space="preserve"> decisions about one’s own life</w:t>
      </w:r>
      <w:r w:rsidR="00930A90" w:rsidRPr="009E77DD">
        <w:rPr>
          <w:rFonts w:ascii="Arial" w:hAnsi="Arial" w:cs="Arial"/>
          <w:sz w:val="24"/>
          <w:szCs w:val="24"/>
        </w:rPr>
        <w:t>.</w:t>
      </w:r>
      <w:r w:rsidRPr="009E77DD">
        <w:rPr>
          <w:rStyle w:val="EndnoteReference"/>
          <w:rFonts w:ascii="Arial" w:hAnsi="Arial" w:cs="Arial"/>
          <w:sz w:val="24"/>
          <w:szCs w:val="24"/>
        </w:rPr>
        <w:endnoteReference w:id="6"/>
      </w:r>
      <w:r w:rsidR="00086162" w:rsidRPr="009E77DD">
        <w:rPr>
          <w:rFonts w:ascii="Arial" w:hAnsi="Arial" w:cs="Arial"/>
          <w:sz w:val="24"/>
          <w:szCs w:val="24"/>
        </w:rPr>
        <w:t xml:space="preserve"> </w:t>
      </w:r>
      <w:r w:rsidRPr="009E77DD">
        <w:rPr>
          <w:rFonts w:ascii="Arial" w:hAnsi="Arial" w:cs="Arial"/>
          <w:sz w:val="24"/>
          <w:szCs w:val="24"/>
        </w:rPr>
        <w:t>Article 7 of the Inter-American Convention on Protecting the Human Rights of Older Persons includes the right to make decisions and determine one’s own life plans.</w:t>
      </w:r>
      <w:r w:rsidR="00CF47F8" w:rsidRPr="009E77DD">
        <w:rPr>
          <w:rFonts w:ascii="Arial" w:hAnsi="Arial" w:cs="Arial"/>
          <w:sz w:val="24"/>
          <w:szCs w:val="24"/>
        </w:rPr>
        <w:t xml:space="preserve"> The UNCRPD also requires that disabled people are </w:t>
      </w:r>
      <w:r w:rsidR="009E77DD">
        <w:rPr>
          <w:rFonts w:ascii="Arial" w:hAnsi="Arial" w:cs="Arial"/>
          <w:sz w:val="24"/>
          <w:szCs w:val="24"/>
        </w:rPr>
        <w:t>meaningfully</w:t>
      </w:r>
      <w:r w:rsidR="00CD14E1" w:rsidRPr="009E77DD">
        <w:rPr>
          <w:rFonts w:ascii="Arial" w:hAnsi="Arial" w:cs="Arial"/>
          <w:sz w:val="24"/>
          <w:szCs w:val="24"/>
        </w:rPr>
        <w:t xml:space="preserve"> involved</w:t>
      </w:r>
      <w:r w:rsidR="009E77DD">
        <w:rPr>
          <w:rFonts w:ascii="Arial" w:hAnsi="Arial" w:cs="Arial"/>
          <w:sz w:val="24"/>
          <w:szCs w:val="24"/>
        </w:rPr>
        <w:t xml:space="preserve"> in</w:t>
      </w:r>
      <w:r w:rsidR="00F9799C" w:rsidRPr="009E77DD">
        <w:rPr>
          <w:rFonts w:ascii="Arial" w:hAnsi="Arial" w:cs="Arial"/>
          <w:sz w:val="24"/>
          <w:szCs w:val="24"/>
        </w:rPr>
        <w:t xml:space="preserve"> decisions</w:t>
      </w:r>
      <w:r w:rsidR="00CD14E1" w:rsidRPr="009E77DD">
        <w:rPr>
          <w:rFonts w:ascii="Arial" w:hAnsi="Arial" w:cs="Arial"/>
          <w:sz w:val="24"/>
          <w:szCs w:val="24"/>
        </w:rPr>
        <w:t xml:space="preserve"> </w:t>
      </w:r>
      <w:r w:rsidR="009E77DD">
        <w:rPr>
          <w:rFonts w:ascii="Arial" w:hAnsi="Arial" w:cs="Arial"/>
          <w:sz w:val="24"/>
          <w:szCs w:val="24"/>
        </w:rPr>
        <w:t xml:space="preserve">that </w:t>
      </w:r>
      <w:r w:rsidR="00CD14E1" w:rsidRPr="009E77DD">
        <w:rPr>
          <w:rFonts w:ascii="Arial" w:hAnsi="Arial" w:cs="Arial"/>
          <w:sz w:val="24"/>
          <w:szCs w:val="24"/>
        </w:rPr>
        <w:t>affect their lives.</w:t>
      </w:r>
      <w:r w:rsidR="00CD14E1" w:rsidRPr="009E77DD">
        <w:rPr>
          <w:rStyle w:val="EndnoteReference"/>
          <w:rFonts w:ascii="Arial" w:hAnsi="Arial" w:cs="Arial"/>
          <w:sz w:val="24"/>
          <w:szCs w:val="24"/>
        </w:rPr>
        <w:endnoteReference w:id="7"/>
      </w:r>
    </w:p>
    <w:p w:rsidR="001D527A" w:rsidRPr="009E77DD" w:rsidRDefault="001D527A" w:rsidP="00391C02">
      <w:pPr>
        <w:pStyle w:val="ListParagraph"/>
        <w:spacing w:after="0" w:line="240" w:lineRule="auto"/>
        <w:ind w:left="360"/>
        <w:rPr>
          <w:rFonts w:ascii="Arial" w:hAnsi="Arial" w:cs="Arial"/>
          <w:sz w:val="24"/>
          <w:szCs w:val="24"/>
        </w:rPr>
      </w:pPr>
    </w:p>
    <w:p w:rsidR="001D527A" w:rsidRPr="009E77DD" w:rsidRDefault="001D527A" w:rsidP="007413FA">
      <w:pPr>
        <w:pStyle w:val="ListParagraph"/>
        <w:numPr>
          <w:ilvl w:val="0"/>
          <w:numId w:val="4"/>
        </w:numPr>
        <w:rPr>
          <w:rFonts w:ascii="Arial" w:hAnsi="Arial" w:cs="Arial"/>
          <w:i/>
          <w:sz w:val="24"/>
          <w:szCs w:val="24"/>
          <w:u w:val="single"/>
        </w:rPr>
      </w:pPr>
      <w:r w:rsidRPr="009E77DD">
        <w:rPr>
          <w:rFonts w:ascii="Arial" w:hAnsi="Arial" w:cs="Arial"/>
          <w:i/>
          <w:sz w:val="24"/>
          <w:szCs w:val="24"/>
          <w:u w:val="single"/>
        </w:rPr>
        <w:t>Choice and control over living arrangements:</w:t>
      </w:r>
      <w:r w:rsidRPr="009E77DD">
        <w:rPr>
          <w:sz w:val="24"/>
          <w:szCs w:val="24"/>
        </w:rPr>
        <w:t xml:space="preserve"> </w:t>
      </w:r>
      <w:r w:rsidR="00203847" w:rsidRPr="009E77DD">
        <w:rPr>
          <w:rFonts w:ascii="Arial" w:hAnsi="Arial" w:cs="Arial"/>
          <w:sz w:val="24"/>
          <w:szCs w:val="24"/>
        </w:rPr>
        <w:t xml:space="preserve">UNCRPD </w:t>
      </w:r>
      <w:r w:rsidRPr="009E77DD">
        <w:rPr>
          <w:rFonts w:ascii="Arial" w:hAnsi="Arial" w:cs="Arial"/>
          <w:sz w:val="24"/>
          <w:szCs w:val="24"/>
        </w:rPr>
        <w:t xml:space="preserve">Article 19 on living independently in the community protects this right in relation to disabled people. Article 19(a) protects disabled people’s </w:t>
      </w:r>
      <w:r w:rsidRPr="009E77DD">
        <w:rPr>
          <w:rFonts w:ascii="Arial" w:hAnsi="Arial" w:cs="Arial"/>
          <w:color w:val="000000"/>
          <w:sz w:val="24"/>
          <w:szCs w:val="24"/>
          <w:shd w:val="clear" w:color="auto" w:fill="FFFFFF"/>
        </w:rPr>
        <w:t>right to ‘choose their place of residence and where and with whom they live on an equal basis with others’ and to not be ‘obliged to live in a particular living arrangement’.</w:t>
      </w:r>
      <w:r w:rsidRPr="009E77DD">
        <w:rPr>
          <w:rFonts w:ascii="Arial" w:hAnsi="Arial" w:cs="Arial"/>
          <w:sz w:val="24"/>
          <w:szCs w:val="24"/>
        </w:rPr>
        <w:t xml:space="preserve"> This </w:t>
      </w:r>
      <w:proofErr w:type="gramStart"/>
      <w:r w:rsidRPr="009E77DD">
        <w:rPr>
          <w:rFonts w:ascii="Arial" w:hAnsi="Arial" w:cs="Arial"/>
          <w:sz w:val="24"/>
          <w:szCs w:val="24"/>
        </w:rPr>
        <w:t>has been interpreted</w:t>
      </w:r>
      <w:proofErr w:type="gramEnd"/>
      <w:r w:rsidRPr="009E77DD">
        <w:rPr>
          <w:rFonts w:ascii="Arial" w:hAnsi="Arial" w:cs="Arial"/>
          <w:sz w:val="24"/>
          <w:szCs w:val="24"/>
        </w:rPr>
        <w:t xml:space="preserve"> to include ‘all aspects of a person’s living arrangement’, and to clarify that choice is only meaningful with sufficient option</w:t>
      </w:r>
      <w:r w:rsidR="00617F66" w:rsidRPr="009E77DD">
        <w:rPr>
          <w:rFonts w:ascii="Arial" w:hAnsi="Arial" w:cs="Arial"/>
          <w:sz w:val="24"/>
          <w:szCs w:val="24"/>
        </w:rPr>
        <w:t>s</w:t>
      </w:r>
      <w:r w:rsidR="00203D77" w:rsidRPr="009E77DD">
        <w:rPr>
          <w:rFonts w:ascii="Arial" w:hAnsi="Arial" w:cs="Arial"/>
          <w:sz w:val="24"/>
          <w:szCs w:val="24"/>
        </w:rPr>
        <w:t xml:space="preserve"> and information about options</w:t>
      </w:r>
      <w:r w:rsidRPr="009E77DD">
        <w:rPr>
          <w:rFonts w:ascii="Arial" w:hAnsi="Arial" w:cs="Arial"/>
          <w:sz w:val="24"/>
          <w:szCs w:val="24"/>
        </w:rPr>
        <w:t>.</w:t>
      </w:r>
      <w:r w:rsidRPr="009E77DD">
        <w:rPr>
          <w:rStyle w:val="EndnoteReference"/>
          <w:rFonts w:ascii="Arial" w:hAnsi="Arial" w:cs="Arial"/>
          <w:sz w:val="24"/>
          <w:szCs w:val="24"/>
        </w:rPr>
        <w:endnoteReference w:id="8"/>
      </w:r>
      <w:r w:rsidRPr="009E77DD">
        <w:rPr>
          <w:rFonts w:ascii="Arial" w:hAnsi="Arial" w:cs="Arial"/>
          <w:sz w:val="24"/>
          <w:szCs w:val="24"/>
        </w:rPr>
        <w:t xml:space="preserve"> In addition, UNCRPD Article 19 and ECHR Article 8 </w:t>
      </w:r>
      <w:proofErr w:type="gramStart"/>
      <w:r w:rsidR="00E41B96" w:rsidRPr="009E77DD">
        <w:rPr>
          <w:rFonts w:ascii="Arial" w:hAnsi="Arial" w:cs="Arial"/>
          <w:sz w:val="24"/>
          <w:szCs w:val="24"/>
        </w:rPr>
        <w:t>should be interpreted</w:t>
      </w:r>
      <w:proofErr w:type="gramEnd"/>
      <w:r w:rsidR="00E41B96" w:rsidRPr="009E77DD">
        <w:rPr>
          <w:rFonts w:ascii="Arial" w:hAnsi="Arial" w:cs="Arial"/>
          <w:sz w:val="24"/>
          <w:szCs w:val="24"/>
        </w:rPr>
        <w:t xml:space="preserve"> in a way that enables</w:t>
      </w:r>
      <w:r w:rsidRPr="009E77DD">
        <w:rPr>
          <w:rFonts w:ascii="Arial" w:hAnsi="Arial" w:cs="Arial"/>
          <w:sz w:val="24"/>
          <w:szCs w:val="24"/>
        </w:rPr>
        <w:t xml:space="preserve"> individuals to take risks, within reason, when deciding on their living arrangements and support.</w:t>
      </w:r>
    </w:p>
    <w:p w:rsidR="001D527A" w:rsidRPr="009E77DD" w:rsidRDefault="001D527A" w:rsidP="001E612E">
      <w:pPr>
        <w:pStyle w:val="ListParagraph"/>
        <w:rPr>
          <w:rFonts w:ascii="Arial" w:hAnsi="Arial" w:cs="Arial"/>
          <w:i/>
          <w:sz w:val="24"/>
          <w:szCs w:val="24"/>
          <w:u w:val="single"/>
        </w:rPr>
      </w:pPr>
    </w:p>
    <w:p w:rsidR="001D527A" w:rsidRPr="009E77DD" w:rsidRDefault="001D527A" w:rsidP="00ED7A82">
      <w:pPr>
        <w:pStyle w:val="ListParagraph"/>
        <w:numPr>
          <w:ilvl w:val="0"/>
          <w:numId w:val="4"/>
        </w:numPr>
        <w:rPr>
          <w:rFonts w:ascii="Arial" w:hAnsi="Arial" w:cs="Arial"/>
          <w:i/>
          <w:sz w:val="24"/>
          <w:szCs w:val="24"/>
          <w:u w:val="single"/>
        </w:rPr>
      </w:pPr>
      <w:r w:rsidRPr="009E77DD">
        <w:rPr>
          <w:rFonts w:ascii="Arial" w:hAnsi="Arial" w:cs="Arial"/>
          <w:i/>
          <w:sz w:val="24"/>
          <w:szCs w:val="24"/>
          <w:u w:val="single"/>
        </w:rPr>
        <w:t>Access to support services, general services and an inclusive environment:</w:t>
      </w:r>
      <w:r w:rsidRPr="009E77DD">
        <w:rPr>
          <w:rFonts w:ascii="Arial" w:hAnsi="Arial" w:cs="Arial"/>
          <w:sz w:val="24"/>
          <w:szCs w:val="24"/>
        </w:rPr>
        <w:t xml:space="preserve"> UNCRPD Article 19(b) requires ‘access to a range of in-home, residential and other community support services’</w:t>
      </w:r>
      <w:r w:rsidR="00A9082A">
        <w:rPr>
          <w:rFonts w:ascii="Arial" w:hAnsi="Arial" w:cs="Arial"/>
          <w:sz w:val="24"/>
          <w:szCs w:val="24"/>
        </w:rPr>
        <w:t>, across a range of areas of life,</w:t>
      </w:r>
      <w:r w:rsidR="00A9082A" w:rsidRPr="009E77DD">
        <w:rPr>
          <w:rStyle w:val="EndnoteReference"/>
          <w:rFonts w:ascii="Arial" w:hAnsi="Arial" w:cs="Arial"/>
          <w:sz w:val="24"/>
          <w:szCs w:val="24"/>
        </w:rPr>
        <w:endnoteReference w:id="9"/>
      </w:r>
      <w:r w:rsidRPr="009E77DD">
        <w:rPr>
          <w:rFonts w:ascii="Arial" w:hAnsi="Arial" w:cs="Arial"/>
          <w:sz w:val="24"/>
          <w:szCs w:val="24"/>
        </w:rPr>
        <w:t xml:space="preserve"> to enable </w:t>
      </w:r>
      <w:r w:rsidR="00B714D3" w:rsidRPr="009E77DD">
        <w:rPr>
          <w:rFonts w:ascii="Arial" w:hAnsi="Arial" w:cs="Arial"/>
          <w:sz w:val="24"/>
          <w:szCs w:val="24"/>
        </w:rPr>
        <w:t xml:space="preserve">full </w:t>
      </w:r>
      <w:r w:rsidR="00C65CFB">
        <w:rPr>
          <w:rFonts w:ascii="Arial" w:hAnsi="Arial" w:cs="Arial"/>
          <w:sz w:val="24"/>
          <w:szCs w:val="24"/>
        </w:rPr>
        <w:t>inclusion within the community</w:t>
      </w:r>
      <w:r w:rsidRPr="009E77DD">
        <w:rPr>
          <w:rFonts w:ascii="Arial" w:hAnsi="Arial" w:cs="Arial"/>
          <w:sz w:val="24"/>
          <w:szCs w:val="24"/>
        </w:rPr>
        <w:t>. UNCRPD Article 19(c) requires that services and facilities available to the general p</w:t>
      </w:r>
      <w:r w:rsidR="0005797D" w:rsidRPr="009E77DD">
        <w:rPr>
          <w:rFonts w:ascii="Arial" w:hAnsi="Arial" w:cs="Arial"/>
          <w:sz w:val="24"/>
          <w:szCs w:val="24"/>
        </w:rPr>
        <w:t>opulation are equally available to disabled people and respond to</w:t>
      </w:r>
      <w:r w:rsidRPr="009E77DD">
        <w:rPr>
          <w:rFonts w:ascii="Arial" w:hAnsi="Arial" w:cs="Arial"/>
          <w:sz w:val="24"/>
          <w:szCs w:val="24"/>
        </w:rPr>
        <w:t xml:space="preserve"> their needs.</w:t>
      </w:r>
      <w:r w:rsidRPr="009E77DD">
        <w:rPr>
          <w:rStyle w:val="EndnoteReference"/>
          <w:rFonts w:ascii="Arial" w:hAnsi="Arial" w:cs="Arial"/>
          <w:sz w:val="24"/>
          <w:szCs w:val="24"/>
        </w:rPr>
        <w:endnoteReference w:id="10"/>
      </w:r>
      <w:r w:rsidR="009806C5" w:rsidRPr="009E77DD">
        <w:rPr>
          <w:rFonts w:ascii="Arial" w:hAnsi="Arial" w:cs="Arial"/>
          <w:sz w:val="24"/>
          <w:szCs w:val="24"/>
        </w:rPr>
        <w:t xml:space="preserve"> Interpretation has clarified that general services should be designed to be ‘universally accessible, acceptable and adaptable</w:t>
      </w:r>
      <w:r w:rsidR="008E3F65" w:rsidRPr="009E77DD">
        <w:rPr>
          <w:rFonts w:ascii="Arial" w:hAnsi="Arial" w:cs="Arial"/>
          <w:sz w:val="24"/>
          <w:szCs w:val="24"/>
        </w:rPr>
        <w:t>’.</w:t>
      </w:r>
      <w:r w:rsidRPr="009E77DD">
        <w:rPr>
          <w:rStyle w:val="EndnoteReference"/>
          <w:rFonts w:ascii="Arial" w:hAnsi="Arial" w:cs="Arial"/>
          <w:sz w:val="24"/>
          <w:szCs w:val="24"/>
        </w:rPr>
        <w:endnoteReference w:id="11"/>
      </w:r>
      <w:r w:rsidRPr="009E77DD">
        <w:rPr>
          <w:rFonts w:ascii="Arial" w:hAnsi="Arial" w:cs="Arial"/>
          <w:sz w:val="24"/>
          <w:szCs w:val="24"/>
        </w:rPr>
        <w:t xml:space="preserve"> UNCRPD Article 9 s</w:t>
      </w:r>
      <w:r w:rsidR="003C50A7" w:rsidRPr="009E77DD">
        <w:rPr>
          <w:rFonts w:ascii="Arial" w:hAnsi="Arial" w:cs="Arial"/>
          <w:sz w:val="24"/>
          <w:szCs w:val="24"/>
        </w:rPr>
        <w:t>ets out detailed requirements for</w:t>
      </w:r>
      <w:r w:rsidRPr="009E77DD">
        <w:rPr>
          <w:rFonts w:ascii="Arial" w:hAnsi="Arial" w:cs="Arial"/>
          <w:sz w:val="24"/>
          <w:szCs w:val="24"/>
        </w:rPr>
        <w:t xml:space="preserve"> accessible services and facilities.</w:t>
      </w:r>
      <w:r w:rsidRPr="009E77DD">
        <w:rPr>
          <w:rStyle w:val="EndnoteReference"/>
          <w:rFonts w:ascii="Arial" w:hAnsi="Arial" w:cs="Arial"/>
          <w:sz w:val="24"/>
          <w:szCs w:val="24"/>
        </w:rPr>
        <w:endnoteReference w:id="12"/>
      </w:r>
      <w:r w:rsidR="000C76A8" w:rsidRPr="009E77DD">
        <w:rPr>
          <w:rFonts w:ascii="Arial" w:hAnsi="Arial" w:cs="Arial"/>
          <w:sz w:val="24"/>
          <w:szCs w:val="24"/>
        </w:rPr>
        <w:t xml:space="preserve"> </w:t>
      </w:r>
      <w:r w:rsidR="003C50A7" w:rsidRPr="009E77DD">
        <w:rPr>
          <w:rFonts w:ascii="Arial" w:hAnsi="Arial" w:cs="Arial"/>
          <w:sz w:val="24"/>
          <w:szCs w:val="24"/>
        </w:rPr>
        <w:t xml:space="preserve">In addition, UNCRPD Article 5(3) requires that ‘reasonable accommodation’ </w:t>
      </w:r>
      <w:proofErr w:type="gramStart"/>
      <w:r w:rsidR="003C50A7" w:rsidRPr="009E77DD">
        <w:rPr>
          <w:rFonts w:ascii="Arial" w:hAnsi="Arial" w:cs="Arial"/>
          <w:sz w:val="24"/>
          <w:szCs w:val="24"/>
        </w:rPr>
        <w:t>is</w:t>
      </w:r>
      <w:proofErr w:type="gramEnd"/>
      <w:r w:rsidR="003C50A7" w:rsidRPr="009E77DD">
        <w:rPr>
          <w:rFonts w:ascii="Arial" w:hAnsi="Arial" w:cs="Arial"/>
          <w:sz w:val="24"/>
          <w:szCs w:val="24"/>
        </w:rPr>
        <w:t xml:space="preserve"> provided in order to promote equality.</w:t>
      </w:r>
      <w:r w:rsidR="00E536E5" w:rsidRPr="009E77DD">
        <w:rPr>
          <w:rStyle w:val="EndnoteReference"/>
          <w:rFonts w:ascii="Arial" w:hAnsi="Arial" w:cs="Arial"/>
          <w:sz w:val="24"/>
          <w:szCs w:val="24"/>
        </w:rPr>
        <w:endnoteReference w:id="13"/>
      </w:r>
    </w:p>
    <w:p w:rsidR="005E5938" w:rsidRPr="009E77DD" w:rsidRDefault="005E5938" w:rsidP="005E5938">
      <w:pPr>
        <w:pStyle w:val="ListParagraph"/>
        <w:rPr>
          <w:rFonts w:ascii="Arial" w:hAnsi="Arial" w:cs="Arial"/>
          <w:i/>
          <w:sz w:val="24"/>
          <w:szCs w:val="24"/>
          <w:u w:val="single"/>
        </w:rPr>
      </w:pPr>
    </w:p>
    <w:p w:rsidR="005E5938" w:rsidRPr="009E77DD" w:rsidRDefault="005E5938" w:rsidP="00427F25">
      <w:pPr>
        <w:pStyle w:val="ListParagraph"/>
        <w:numPr>
          <w:ilvl w:val="0"/>
          <w:numId w:val="4"/>
        </w:numPr>
        <w:rPr>
          <w:rFonts w:ascii="Arial" w:hAnsi="Arial" w:cs="Arial"/>
          <w:sz w:val="24"/>
          <w:szCs w:val="24"/>
        </w:rPr>
      </w:pPr>
      <w:r w:rsidRPr="009E77DD">
        <w:rPr>
          <w:rFonts w:ascii="Arial" w:hAnsi="Arial" w:cs="Arial"/>
          <w:i/>
          <w:sz w:val="24"/>
          <w:szCs w:val="24"/>
          <w:u w:val="single"/>
        </w:rPr>
        <w:t>Liberty, security and personal integrity:</w:t>
      </w:r>
      <w:r w:rsidRPr="009E77DD">
        <w:rPr>
          <w:rFonts w:ascii="Arial" w:hAnsi="Arial" w:cs="Arial"/>
          <w:sz w:val="24"/>
          <w:szCs w:val="24"/>
        </w:rPr>
        <w:t xml:space="preserve"> ICCPR Article 9 protect</w:t>
      </w:r>
      <w:r w:rsidR="00736B3D" w:rsidRPr="009E77DD">
        <w:rPr>
          <w:rFonts w:ascii="Arial" w:hAnsi="Arial" w:cs="Arial"/>
          <w:sz w:val="24"/>
          <w:szCs w:val="24"/>
        </w:rPr>
        <w:t>s</w:t>
      </w:r>
      <w:r w:rsidRPr="009E77DD">
        <w:rPr>
          <w:rFonts w:ascii="Arial" w:hAnsi="Arial" w:cs="Arial"/>
          <w:sz w:val="24"/>
          <w:szCs w:val="24"/>
        </w:rPr>
        <w:t xml:space="preserve"> </w:t>
      </w:r>
      <w:r w:rsidR="00B24BB5" w:rsidRPr="009E77DD">
        <w:rPr>
          <w:rFonts w:ascii="Arial" w:hAnsi="Arial" w:cs="Arial"/>
          <w:sz w:val="24"/>
          <w:szCs w:val="24"/>
        </w:rPr>
        <w:t>the right to liberty and security of the person, including freedom from</w:t>
      </w:r>
      <w:r w:rsidRPr="009E77DD">
        <w:rPr>
          <w:rFonts w:ascii="Arial" w:hAnsi="Arial" w:cs="Arial"/>
          <w:sz w:val="24"/>
          <w:szCs w:val="24"/>
        </w:rPr>
        <w:t xml:space="preserve"> a</w:t>
      </w:r>
      <w:r w:rsidR="00CF4D14" w:rsidRPr="009E77DD">
        <w:rPr>
          <w:rFonts w:ascii="Arial" w:hAnsi="Arial" w:cs="Arial"/>
          <w:sz w:val="24"/>
          <w:szCs w:val="24"/>
        </w:rPr>
        <w:t>rbitrary deprivation of liberty.</w:t>
      </w:r>
      <w:r w:rsidRPr="009E77DD">
        <w:rPr>
          <w:rFonts w:ascii="Arial" w:hAnsi="Arial" w:cs="Arial"/>
          <w:sz w:val="24"/>
          <w:szCs w:val="24"/>
        </w:rPr>
        <w:t xml:space="preserve"> </w:t>
      </w:r>
      <w:r w:rsidR="00736B3D" w:rsidRPr="009E77DD">
        <w:rPr>
          <w:rFonts w:ascii="Arial" w:hAnsi="Arial" w:cs="Arial"/>
          <w:sz w:val="24"/>
          <w:szCs w:val="24"/>
        </w:rPr>
        <w:t xml:space="preserve">UNCRPD Article 14 enshrines this same right in relation to disabled people, </w:t>
      </w:r>
      <w:r w:rsidR="002E7278" w:rsidRPr="009E77DD">
        <w:rPr>
          <w:rFonts w:ascii="Arial" w:hAnsi="Arial" w:cs="Arial"/>
          <w:sz w:val="24"/>
          <w:szCs w:val="24"/>
        </w:rPr>
        <w:t xml:space="preserve">and </w:t>
      </w:r>
      <w:r w:rsidRPr="009E77DD">
        <w:rPr>
          <w:rFonts w:ascii="Arial" w:hAnsi="Arial" w:cs="Arial"/>
          <w:sz w:val="24"/>
          <w:szCs w:val="24"/>
        </w:rPr>
        <w:t>UNCRPD Article</w:t>
      </w:r>
      <w:r w:rsidR="00B92C74" w:rsidRPr="009E77DD">
        <w:rPr>
          <w:rFonts w:ascii="Arial" w:hAnsi="Arial" w:cs="Arial"/>
          <w:sz w:val="24"/>
          <w:szCs w:val="24"/>
        </w:rPr>
        <w:t xml:space="preserve"> 17</w:t>
      </w:r>
      <w:r w:rsidRPr="009E77DD">
        <w:rPr>
          <w:rFonts w:ascii="Arial" w:hAnsi="Arial" w:cs="Arial"/>
          <w:sz w:val="24"/>
          <w:szCs w:val="24"/>
        </w:rPr>
        <w:t xml:space="preserve"> protects the mental and physical integrity of disabled people. ICCPR Article 10 provides that ‘all persons deprived of their liberty shall be treated with humanity and with respect for the inherent dignity of </w:t>
      </w:r>
      <w:r w:rsidRPr="009E77DD">
        <w:rPr>
          <w:rFonts w:ascii="Arial" w:hAnsi="Arial" w:cs="Arial"/>
          <w:sz w:val="24"/>
          <w:szCs w:val="24"/>
        </w:rPr>
        <w:lastRenderedPageBreak/>
        <w:t>the human person’.</w:t>
      </w:r>
      <w:r w:rsidRPr="009E77DD">
        <w:rPr>
          <w:rStyle w:val="EndnoteReference"/>
          <w:rFonts w:ascii="Arial" w:hAnsi="Arial" w:cs="Arial"/>
          <w:sz w:val="24"/>
          <w:szCs w:val="24"/>
        </w:rPr>
        <w:endnoteReference w:id="14"/>
      </w:r>
      <w:r w:rsidRPr="009E77DD">
        <w:rPr>
          <w:rFonts w:ascii="Arial" w:hAnsi="Arial" w:cs="Arial"/>
          <w:sz w:val="24"/>
          <w:szCs w:val="24"/>
        </w:rPr>
        <w:t xml:space="preserve"> ECHR Article 5 protects liberty and security of the person in similar terms, and ECHR Article 8 </w:t>
      </w:r>
      <w:proofErr w:type="gramStart"/>
      <w:r w:rsidRPr="009E77DD">
        <w:rPr>
          <w:rFonts w:ascii="Arial" w:hAnsi="Arial" w:cs="Arial"/>
          <w:sz w:val="24"/>
          <w:szCs w:val="24"/>
        </w:rPr>
        <w:t>has been interpreted</w:t>
      </w:r>
      <w:proofErr w:type="gramEnd"/>
      <w:r w:rsidRPr="009E77DD">
        <w:rPr>
          <w:rFonts w:ascii="Arial" w:hAnsi="Arial" w:cs="Arial"/>
          <w:sz w:val="24"/>
          <w:szCs w:val="24"/>
        </w:rPr>
        <w:t xml:space="preserve"> to include the right to respect for personal dignity and the right to control one’s own body.</w:t>
      </w:r>
      <w:r w:rsidRPr="009E77DD">
        <w:rPr>
          <w:rStyle w:val="EndnoteReference"/>
          <w:rFonts w:ascii="Arial" w:hAnsi="Arial" w:cs="Arial"/>
          <w:sz w:val="24"/>
          <w:szCs w:val="24"/>
        </w:rPr>
        <w:endnoteReference w:id="15"/>
      </w:r>
    </w:p>
    <w:p w:rsidR="001D527A" w:rsidRPr="009E77DD" w:rsidRDefault="001D527A" w:rsidP="00D041C6">
      <w:pPr>
        <w:rPr>
          <w:rFonts w:ascii="Arial" w:hAnsi="Arial" w:cs="Arial"/>
          <w:b/>
          <w:sz w:val="24"/>
          <w:szCs w:val="24"/>
        </w:rPr>
      </w:pPr>
      <w:r w:rsidRPr="009E77DD">
        <w:rPr>
          <w:rFonts w:ascii="Arial" w:hAnsi="Arial" w:cs="Arial"/>
          <w:b/>
          <w:sz w:val="24"/>
          <w:szCs w:val="24"/>
        </w:rPr>
        <w:t>Gaps in the current framework</w:t>
      </w:r>
      <w:r w:rsidR="003E6840">
        <w:rPr>
          <w:rFonts w:ascii="Arial" w:hAnsi="Arial" w:cs="Arial"/>
          <w:b/>
          <w:sz w:val="24"/>
          <w:szCs w:val="24"/>
        </w:rPr>
        <w:t>:</w:t>
      </w:r>
    </w:p>
    <w:p w:rsidR="001D527A" w:rsidRPr="009E77DD" w:rsidRDefault="000605BC" w:rsidP="00160B30">
      <w:pPr>
        <w:rPr>
          <w:rFonts w:ascii="Arial" w:hAnsi="Arial" w:cs="Arial"/>
          <w:sz w:val="24"/>
          <w:szCs w:val="24"/>
        </w:rPr>
      </w:pPr>
      <w:r w:rsidRPr="009E77DD">
        <w:rPr>
          <w:rFonts w:ascii="Arial" w:hAnsi="Arial" w:cs="Arial"/>
          <w:sz w:val="24"/>
          <w:szCs w:val="24"/>
        </w:rPr>
        <w:t>While t</w:t>
      </w:r>
      <w:r w:rsidR="001D527A" w:rsidRPr="009E77DD">
        <w:rPr>
          <w:rFonts w:ascii="Arial" w:hAnsi="Arial" w:cs="Arial"/>
          <w:sz w:val="24"/>
          <w:szCs w:val="24"/>
        </w:rPr>
        <w:t xml:space="preserve">he UNCRPD contains </w:t>
      </w:r>
      <w:r w:rsidR="003E6840">
        <w:rPr>
          <w:rFonts w:ascii="Arial" w:hAnsi="Arial" w:cs="Arial"/>
          <w:sz w:val="24"/>
          <w:szCs w:val="24"/>
        </w:rPr>
        <w:t>some</w:t>
      </w:r>
      <w:r w:rsidRPr="009E77DD">
        <w:rPr>
          <w:rFonts w:ascii="Arial" w:hAnsi="Arial" w:cs="Arial"/>
          <w:sz w:val="24"/>
          <w:szCs w:val="24"/>
        </w:rPr>
        <w:t xml:space="preserve"> relevant</w:t>
      </w:r>
      <w:r w:rsidR="001D527A" w:rsidRPr="009E77DD">
        <w:rPr>
          <w:rFonts w:ascii="Arial" w:hAnsi="Arial" w:cs="Arial"/>
          <w:sz w:val="24"/>
          <w:szCs w:val="24"/>
        </w:rPr>
        <w:t xml:space="preserve"> provisions, older people who are not disabled</w:t>
      </w:r>
      <w:r w:rsidR="00144B4C" w:rsidRPr="009E77DD">
        <w:rPr>
          <w:rFonts w:ascii="Arial" w:hAnsi="Arial" w:cs="Arial"/>
          <w:sz w:val="24"/>
          <w:szCs w:val="24"/>
        </w:rPr>
        <w:t xml:space="preserve"> – </w:t>
      </w:r>
      <w:r w:rsidR="001D527A" w:rsidRPr="009E77DD">
        <w:rPr>
          <w:rFonts w:ascii="Arial" w:hAnsi="Arial" w:cs="Arial"/>
          <w:sz w:val="24"/>
          <w:szCs w:val="24"/>
        </w:rPr>
        <w:t>or do not identify as disabled</w:t>
      </w:r>
      <w:r w:rsidR="00144B4C" w:rsidRPr="009E77DD">
        <w:rPr>
          <w:rFonts w:ascii="Arial" w:hAnsi="Arial" w:cs="Arial"/>
          <w:sz w:val="24"/>
          <w:szCs w:val="24"/>
        </w:rPr>
        <w:t xml:space="preserve"> – </w:t>
      </w:r>
      <w:r w:rsidR="001D527A" w:rsidRPr="009E77DD">
        <w:rPr>
          <w:rFonts w:ascii="Arial" w:hAnsi="Arial" w:cs="Arial"/>
          <w:sz w:val="24"/>
          <w:szCs w:val="24"/>
        </w:rPr>
        <w:t>may mi</w:t>
      </w:r>
      <w:r w:rsidR="003E6840">
        <w:rPr>
          <w:rFonts w:ascii="Arial" w:hAnsi="Arial" w:cs="Arial"/>
          <w:sz w:val="24"/>
          <w:szCs w:val="24"/>
        </w:rPr>
        <w:t>ss out on protection</w:t>
      </w:r>
      <w:r w:rsidR="001D527A" w:rsidRPr="009E77DD">
        <w:rPr>
          <w:rFonts w:ascii="Arial" w:hAnsi="Arial" w:cs="Arial"/>
          <w:sz w:val="24"/>
          <w:szCs w:val="24"/>
        </w:rPr>
        <w:t>, for example in relation to supported decision making</w:t>
      </w:r>
      <w:r w:rsidR="001D527A" w:rsidRPr="009E77DD">
        <w:rPr>
          <w:rStyle w:val="EndnoteReference"/>
          <w:rFonts w:ascii="Arial" w:hAnsi="Arial" w:cs="Arial"/>
          <w:sz w:val="24"/>
          <w:szCs w:val="24"/>
        </w:rPr>
        <w:endnoteReference w:id="16"/>
      </w:r>
      <w:r w:rsidR="00A33AF4" w:rsidRPr="009E77DD">
        <w:rPr>
          <w:rFonts w:ascii="Arial" w:hAnsi="Arial" w:cs="Arial"/>
          <w:sz w:val="24"/>
          <w:szCs w:val="24"/>
        </w:rPr>
        <w:t xml:space="preserve"> and reasonable </w:t>
      </w:r>
      <w:r w:rsidR="001D527A" w:rsidRPr="009E77DD">
        <w:rPr>
          <w:rFonts w:ascii="Arial" w:hAnsi="Arial" w:cs="Arial"/>
          <w:sz w:val="24"/>
          <w:szCs w:val="24"/>
        </w:rPr>
        <w:t>accommodations.</w:t>
      </w:r>
      <w:r w:rsidR="001D527A" w:rsidRPr="009E77DD">
        <w:rPr>
          <w:rStyle w:val="EndnoteReference"/>
          <w:rFonts w:ascii="Arial" w:hAnsi="Arial" w:cs="Arial"/>
          <w:sz w:val="24"/>
          <w:szCs w:val="24"/>
        </w:rPr>
        <w:endnoteReference w:id="17"/>
      </w:r>
      <w:r w:rsidR="001D527A" w:rsidRPr="009E77DD">
        <w:rPr>
          <w:rFonts w:ascii="Arial" w:hAnsi="Arial" w:cs="Arial"/>
          <w:sz w:val="24"/>
          <w:szCs w:val="24"/>
        </w:rPr>
        <w:t xml:space="preserve"> </w:t>
      </w:r>
    </w:p>
    <w:p w:rsidR="001D527A" w:rsidRPr="009E77DD" w:rsidRDefault="001D527A" w:rsidP="00160B30">
      <w:pPr>
        <w:rPr>
          <w:rFonts w:ascii="Arial" w:hAnsi="Arial" w:cs="Arial"/>
          <w:sz w:val="24"/>
          <w:szCs w:val="24"/>
        </w:rPr>
      </w:pPr>
      <w:r w:rsidRPr="009E77DD">
        <w:rPr>
          <w:rFonts w:ascii="Arial" w:hAnsi="Arial" w:cs="Arial"/>
          <w:sz w:val="24"/>
          <w:szCs w:val="24"/>
        </w:rPr>
        <w:t>Older people experience a number of specific barriers to exercising and asserting their rights.</w:t>
      </w:r>
      <w:r w:rsidRPr="009E77DD">
        <w:rPr>
          <w:rStyle w:val="EndnoteReference"/>
          <w:rFonts w:ascii="Arial" w:hAnsi="Arial" w:cs="Arial"/>
          <w:sz w:val="24"/>
          <w:szCs w:val="24"/>
        </w:rPr>
        <w:endnoteReference w:id="18"/>
      </w:r>
      <w:r w:rsidRPr="009E77DD">
        <w:rPr>
          <w:rFonts w:ascii="Arial" w:hAnsi="Arial" w:cs="Arial"/>
          <w:sz w:val="24"/>
          <w:szCs w:val="24"/>
        </w:rPr>
        <w:t xml:space="preserve"> For example, evidence indicates that many older people experience negative attitudes based on their age,</w:t>
      </w:r>
      <w:r w:rsidRPr="009E77DD">
        <w:rPr>
          <w:rStyle w:val="EndnoteReference"/>
          <w:rFonts w:ascii="Arial" w:hAnsi="Arial" w:cs="Arial"/>
          <w:sz w:val="24"/>
          <w:szCs w:val="24"/>
        </w:rPr>
        <w:endnoteReference w:id="19"/>
      </w:r>
      <w:r w:rsidRPr="009E77DD">
        <w:rPr>
          <w:rFonts w:ascii="Arial" w:hAnsi="Arial" w:cs="Arial"/>
          <w:sz w:val="24"/>
          <w:szCs w:val="24"/>
        </w:rPr>
        <w:t xml:space="preserve"> </w:t>
      </w:r>
      <w:r w:rsidRPr="009E77DD">
        <w:rPr>
          <w:rStyle w:val="EndnoteReference"/>
          <w:rFonts w:ascii="Arial" w:hAnsi="Arial" w:cs="Arial"/>
          <w:sz w:val="24"/>
          <w:szCs w:val="24"/>
        </w:rPr>
        <w:endnoteReference w:id="20"/>
      </w:r>
      <w:r w:rsidRPr="009E77DD">
        <w:rPr>
          <w:rFonts w:ascii="Arial" w:hAnsi="Arial" w:cs="Arial"/>
          <w:sz w:val="24"/>
          <w:szCs w:val="24"/>
        </w:rPr>
        <w:t xml:space="preserve"> a lack of options and control over their living arrangements</w:t>
      </w:r>
      <w:r w:rsidRPr="009E77DD">
        <w:rPr>
          <w:rStyle w:val="EndnoteReference"/>
          <w:rFonts w:ascii="Arial" w:hAnsi="Arial" w:cs="Arial"/>
          <w:sz w:val="24"/>
          <w:szCs w:val="24"/>
        </w:rPr>
        <w:endnoteReference w:id="21"/>
      </w:r>
      <w:r w:rsidRPr="009E77DD">
        <w:rPr>
          <w:rFonts w:ascii="Arial" w:hAnsi="Arial" w:cs="Arial"/>
          <w:sz w:val="24"/>
          <w:szCs w:val="24"/>
        </w:rPr>
        <w:t xml:space="preserve"> as well as barriers to choice and control over other </w:t>
      </w:r>
      <w:r w:rsidR="00FF0184" w:rsidRPr="009E77DD">
        <w:rPr>
          <w:rFonts w:ascii="Arial" w:hAnsi="Arial" w:cs="Arial"/>
          <w:sz w:val="24"/>
          <w:szCs w:val="24"/>
        </w:rPr>
        <w:t>parts</w:t>
      </w:r>
      <w:r w:rsidRPr="009E77DD">
        <w:rPr>
          <w:rFonts w:ascii="Arial" w:hAnsi="Arial" w:cs="Arial"/>
          <w:sz w:val="24"/>
          <w:szCs w:val="24"/>
        </w:rPr>
        <w:t xml:space="preserve"> of their lives,</w:t>
      </w:r>
      <w:r w:rsidRPr="009E77DD">
        <w:rPr>
          <w:rStyle w:val="EndnoteReference"/>
          <w:rFonts w:ascii="Arial" w:hAnsi="Arial" w:cs="Arial"/>
          <w:sz w:val="24"/>
          <w:szCs w:val="24"/>
        </w:rPr>
        <w:endnoteReference w:id="22"/>
      </w:r>
      <w:r w:rsidRPr="009E77DD">
        <w:rPr>
          <w:rFonts w:ascii="Arial" w:hAnsi="Arial" w:cs="Arial"/>
          <w:sz w:val="24"/>
          <w:szCs w:val="24"/>
        </w:rPr>
        <w:t xml:space="preserve"> </w:t>
      </w:r>
      <w:r w:rsidR="007A0C40" w:rsidRPr="009E77DD">
        <w:rPr>
          <w:rFonts w:ascii="Arial" w:hAnsi="Arial" w:cs="Arial"/>
          <w:sz w:val="24"/>
          <w:szCs w:val="24"/>
        </w:rPr>
        <w:t>including</w:t>
      </w:r>
      <w:r w:rsidRPr="009E77DD">
        <w:rPr>
          <w:rFonts w:ascii="Arial" w:hAnsi="Arial" w:cs="Arial"/>
          <w:sz w:val="24"/>
          <w:szCs w:val="24"/>
        </w:rPr>
        <w:t xml:space="preserve"> discrimination in receipt of financial services.</w:t>
      </w:r>
      <w:r w:rsidRPr="009E77DD">
        <w:rPr>
          <w:rStyle w:val="EndnoteReference"/>
          <w:rFonts w:ascii="Arial" w:hAnsi="Arial" w:cs="Arial"/>
          <w:sz w:val="24"/>
          <w:szCs w:val="24"/>
        </w:rPr>
        <w:endnoteReference w:id="23"/>
      </w:r>
      <w:r w:rsidRPr="009E77DD">
        <w:rPr>
          <w:rFonts w:ascii="Arial" w:hAnsi="Arial" w:cs="Arial"/>
          <w:sz w:val="24"/>
          <w:szCs w:val="24"/>
        </w:rPr>
        <w:t xml:space="preserve"> </w:t>
      </w:r>
      <w:r w:rsidRPr="009E77DD">
        <w:rPr>
          <w:rStyle w:val="EndnoteReference"/>
          <w:rFonts w:ascii="Arial" w:hAnsi="Arial" w:cs="Arial"/>
          <w:sz w:val="24"/>
          <w:szCs w:val="24"/>
        </w:rPr>
        <w:endnoteReference w:id="24"/>
      </w:r>
    </w:p>
    <w:p w:rsidR="001D527A" w:rsidRPr="009E77DD" w:rsidRDefault="001D527A" w:rsidP="009E0EE8">
      <w:pPr>
        <w:rPr>
          <w:rFonts w:ascii="Arial" w:hAnsi="Arial" w:cs="Arial"/>
          <w:b/>
          <w:sz w:val="24"/>
          <w:szCs w:val="24"/>
        </w:rPr>
      </w:pPr>
      <w:r w:rsidRPr="009E77DD">
        <w:rPr>
          <w:rFonts w:ascii="Arial" w:hAnsi="Arial" w:cs="Arial"/>
          <w:b/>
          <w:sz w:val="24"/>
          <w:szCs w:val="24"/>
        </w:rPr>
        <w:t>Proposed normative content:</w:t>
      </w:r>
    </w:p>
    <w:p w:rsidR="001D527A" w:rsidRPr="009E77DD" w:rsidRDefault="001D527A" w:rsidP="009E0EE8">
      <w:pPr>
        <w:rPr>
          <w:rFonts w:ascii="Arial" w:hAnsi="Arial" w:cs="Arial"/>
          <w:sz w:val="24"/>
          <w:szCs w:val="24"/>
        </w:rPr>
      </w:pPr>
      <w:r w:rsidRPr="009E77DD">
        <w:rPr>
          <w:rFonts w:ascii="Arial" w:hAnsi="Arial" w:cs="Arial"/>
          <w:sz w:val="24"/>
          <w:szCs w:val="24"/>
        </w:rPr>
        <w:t xml:space="preserve">It is therefore important to affirm the right of older people to autonomy and independence, and consider including the following normative elements: </w:t>
      </w:r>
    </w:p>
    <w:p w:rsidR="001D527A" w:rsidRPr="009E77DD" w:rsidRDefault="001D527A" w:rsidP="00ED7A82">
      <w:pPr>
        <w:pStyle w:val="ListParagraph"/>
        <w:numPr>
          <w:ilvl w:val="0"/>
          <w:numId w:val="3"/>
        </w:numPr>
        <w:rPr>
          <w:rFonts w:ascii="Arial" w:hAnsi="Arial" w:cs="Arial"/>
          <w:sz w:val="24"/>
          <w:szCs w:val="24"/>
        </w:rPr>
      </w:pPr>
      <w:r w:rsidRPr="009E77DD">
        <w:rPr>
          <w:rFonts w:ascii="Arial" w:hAnsi="Arial" w:cs="Arial"/>
          <w:b/>
          <w:sz w:val="24"/>
          <w:szCs w:val="24"/>
        </w:rPr>
        <w:t>Equal recognition before the law</w:t>
      </w:r>
      <w:r w:rsidRPr="009E77DD">
        <w:rPr>
          <w:rFonts w:ascii="Arial" w:hAnsi="Arial" w:cs="Arial"/>
          <w:sz w:val="24"/>
          <w:szCs w:val="24"/>
        </w:rPr>
        <w:t xml:space="preserve">, including the right to </w:t>
      </w:r>
      <w:proofErr w:type="gramStart"/>
      <w:r w:rsidRPr="009E77DD">
        <w:rPr>
          <w:rFonts w:ascii="Arial" w:hAnsi="Arial" w:cs="Arial"/>
          <w:sz w:val="24"/>
          <w:szCs w:val="24"/>
        </w:rPr>
        <w:t>be recognised</w:t>
      </w:r>
      <w:proofErr w:type="gramEnd"/>
      <w:r w:rsidRPr="009E77DD">
        <w:rPr>
          <w:rFonts w:ascii="Arial" w:hAnsi="Arial" w:cs="Arial"/>
          <w:sz w:val="24"/>
          <w:szCs w:val="24"/>
        </w:rPr>
        <w:t xml:space="preserve"> as a person before the law and </w:t>
      </w:r>
      <w:r w:rsidR="00F8331F" w:rsidRPr="009E77DD">
        <w:rPr>
          <w:rFonts w:ascii="Arial" w:hAnsi="Arial" w:cs="Arial"/>
          <w:sz w:val="24"/>
          <w:szCs w:val="24"/>
        </w:rPr>
        <w:t xml:space="preserve">the right to </w:t>
      </w:r>
      <w:r w:rsidRPr="009E77DD">
        <w:rPr>
          <w:rFonts w:ascii="Arial" w:hAnsi="Arial" w:cs="Arial"/>
          <w:sz w:val="24"/>
          <w:szCs w:val="24"/>
        </w:rPr>
        <w:t>support, as required, to exercise one’s legal and decision-making capa</w:t>
      </w:r>
      <w:r w:rsidR="00E97300" w:rsidRPr="009E77DD">
        <w:rPr>
          <w:rFonts w:ascii="Arial" w:hAnsi="Arial" w:cs="Arial"/>
          <w:sz w:val="24"/>
          <w:szCs w:val="24"/>
        </w:rPr>
        <w:t>city across all aspects of life.</w:t>
      </w:r>
      <w:r w:rsidRPr="009E77DD">
        <w:rPr>
          <w:rFonts w:ascii="Arial" w:hAnsi="Arial" w:cs="Arial"/>
          <w:sz w:val="24"/>
          <w:szCs w:val="24"/>
        </w:rPr>
        <w:t xml:space="preserve"> </w:t>
      </w:r>
    </w:p>
    <w:p w:rsidR="001D527A" w:rsidRPr="009E77DD" w:rsidRDefault="001D527A" w:rsidP="00ED7A82">
      <w:pPr>
        <w:pStyle w:val="ListParagraph"/>
        <w:numPr>
          <w:ilvl w:val="0"/>
          <w:numId w:val="3"/>
        </w:numPr>
        <w:rPr>
          <w:rFonts w:ascii="Arial" w:hAnsi="Arial" w:cs="Arial"/>
          <w:sz w:val="24"/>
          <w:szCs w:val="24"/>
        </w:rPr>
      </w:pPr>
      <w:r w:rsidRPr="009E77DD">
        <w:rPr>
          <w:rFonts w:ascii="Arial" w:hAnsi="Arial" w:cs="Arial"/>
          <w:b/>
          <w:sz w:val="24"/>
          <w:szCs w:val="24"/>
        </w:rPr>
        <w:t>The right to be involved in decisions affecting one’s own life</w:t>
      </w:r>
      <w:r w:rsidRPr="009E77DD">
        <w:rPr>
          <w:rFonts w:ascii="Arial" w:hAnsi="Arial" w:cs="Arial"/>
          <w:sz w:val="24"/>
          <w:szCs w:val="24"/>
        </w:rPr>
        <w:t xml:space="preserve">, including decisions about individual circumstances, </w:t>
      </w:r>
      <w:r w:rsidR="00EC2E4C" w:rsidRPr="009E77DD">
        <w:rPr>
          <w:rFonts w:ascii="Arial" w:hAnsi="Arial" w:cs="Arial"/>
          <w:sz w:val="24"/>
          <w:szCs w:val="24"/>
        </w:rPr>
        <w:t>and</w:t>
      </w:r>
      <w:r w:rsidR="000605BC" w:rsidRPr="009E77DD">
        <w:rPr>
          <w:rFonts w:ascii="Arial" w:hAnsi="Arial" w:cs="Arial"/>
          <w:sz w:val="24"/>
          <w:szCs w:val="24"/>
        </w:rPr>
        <w:t xml:space="preserve"> relevant</w:t>
      </w:r>
      <w:r w:rsidR="00EC2E4C" w:rsidRPr="009E77DD">
        <w:rPr>
          <w:rFonts w:ascii="Arial" w:hAnsi="Arial" w:cs="Arial"/>
          <w:sz w:val="24"/>
          <w:szCs w:val="24"/>
        </w:rPr>
        <w:t xml:space="preserve"> </w:t>
      </w:r>
      <w:r w:rsidRPr="009E77DD">
        <w:rPr>
          <w:rFonts w:ascii="Arial" w:hAnsi="Arial" w:cs="Arial"/>
          <w:sz w:val="24"/>
          <w:szCs w:val="24"/>
        </w:rPr>
        <w:t>national policy decisions, and the right to have one’s decisions respected.</w:t>
      </w:r>
    </w:p>
    <w:p w:rsidR="001D527A" w:rsidRPr="009E77DD" w:rsidRDefault="001D527A" w:rsidP="00ED7A82">
      <w:pPr>
        <w:pStyle w:val="ListParagraph"/>
        <w:numPr>
          <w:ilvl w:val="0"/>
          <w:numId w:val="2"/>
        </w:numPr>
        <w:rPr>
          <w:rFonts w:ascii="Arial" w:hAnsi="Arial" w:cs="Arial"/>
          <w:sz w:val="24"/>
          <w:szCs w:val="24"/>
        </w:rPr>
      </w:pPr>
      <w:r w:rsidRPr="009E77DD">
        <w:rPr>
          <w:rFonts w:ascii="Arial" w:hAnsi="Arial" w:cs="Arial"/>
          <w:b/>
          <w:sz w:val="24"/>
          <w:szCs w:val="24"/>
        </w:rPr>
        <w:t>The right</w:t>
      </w:r>
      <w:r w:rsidR="00DC1456" w:rsidRPr="009E77DD">
        <w:rPr>
          <w:rFonts w:ascii="Arial" w:hAnsi="Arial" w:cs="Arial"/>
          <w:b/>
          <w:sz w:val="24"/>
          <w:szCs w:val="24"/>
        </w:rPr>
        <w:t xml:space="preserve"> to</w:t>
      </w:r>
      <w:r w:rsidRPr="009E77DD">
        <w:rPr>
          <w:rFonts w:ascii="Arial" w:hAnsi="Arial" w:cs="Arial"/>
          <w:b/>
          <w:sz w:val="24"/>
          <w:szCs w:val="24"/>
        </w:rPr>
        <w:t xml:space="preserve"> lib</w:t>
      </w:r>
      <w:r w:rsidR="005E5938" w:rsidRPr="009E77DD">
        <w:rPr>
          <w:rFonts w:ascii="Arial" w:hAnsi="Arial" w:cs="Arial"/>
          <w:b/>
          <w:sz w:val="24"/>
          <w:szCs w:val="24"/>
        </w:rPr>
        <w:t>erty</w:t>
      </w:r>
      <w:r w:rsidR="00591042" w:rsidRPr="009E77DD">
        <w:rPr>
          <w:rFonts w:ascii="Arial" w:hAnsi="Arial" w:cs="Arial"/>
          <w:b/>
          <w:sz w:val="24"/>
          <w:szCs w:val="24"/>
        </w:rPr>
        <w:t>,</w:t>
      </w:r>
      <w:r w:rsidR="00DC1456" w:rsidRPr="009E77DD">
        <w:rPr>
          <w:rFonts w:ascii="Arial" w:hAnsi="Arial" w:cs="Arial"/>
          <w:b/>
          <w:sz w:val="24"/>
          <w:szCs w:val="24"/>
        </w:rPr>
        <w:t xml:space="preserve"> security</w:t>
      </w:r>
      <w:r w:rsidR="005E5938" w:rsidRPr="009E77DD">
        <w:rPr>
          <w:rFonts w:ascii="Arial" w:hAnsi="Arial" w:cs="Arial"/>
          <w:b/>
          <w:sz w:val="24"/>
          <w:szCs w:val="24"/>
        </w:rPr>
        <w:t xml:space="preserve"> and personal integrity</w:t>
      </w:r>
      <w:r w:rsidRPr="009E77DD">
        <w:rPr>
          <w:rFonts w:ascii="Arial" w:hAnsi="Arial" w:cs="Arial"/>
          <w:b/>
          <w:sz w:val="24"/>
          <w:szCs w:val="24"/>
        </w:rPr>
        <w:t xml:space="preserve"> </w:t>
      </w:r>
      <w:r w:rsidRPr="009E77DD">
        <w:rPr>
          <w:rFonts w:ascii="Arial" w:hAnsi="Arial" w:cs="Arial"/>
          <w:sz w:val="24"/>
          <w:szCs w:val="24"/>
        </w:rPr>
        <w:t xml:space="preserve">including the right </w:t>
      </w:r>
      <w:r w:rsidR="00846880" w:rsidRPr="009E77DD">
        <w:rPr>
          <w:rFonts w:ascii="Arial" w:hAnsi="Arial" w:cs="Arial"/>
          <w:sz w:val="24"/>
          <w:szCs w:val="24"/>
        </w:rPr>
        <w:t xml:space="preserve">to freedom from arbitrary deprivation </w:t>
      </w:r>
      <w:r w:rsidRPr="009E77DD">
        <w:rPr>
          <w:rFonts w:ascii="Arial" w:hAnsi="Arial" w:cs="Arial"/>
          <w:sz w:val="24"/>
          <w:szCs w:val="24"/>
        </w:rPr>
        <w:t xml:space="preserve">of one’s liberty </w:t>
      </w:r>
      <w:proofErr w:type="gramStart"/>
      <w:r w:rsidRPr="009E77DD">
        <w:rPr>
          <w:rFonts w:ascii="Arial" w:hAnsi="Arial" w:cs="Arial"/>
          <w:sz w:val="24"/>
          <w:szCs w:val="24"/>
        </w:rPr>
        <w:t>on the basis of</w:t>
      </w:r>
      <w:proofErr w:type="gramEnd"/>
      <w:r w:rsidRPr="009E77DD">
        <w:rPr>
          <w:rFonts w:ascii="Arial" w:hAnsi="Arial" w:cs="Arial"/>
          <w:sz w:val="24"/>
          <w:szCs w:val="24"/>
        </w:rPr>
        <w:t xml:space="preserve"> age alone, or factors relating to older age.</w:t>
      </w:r>
    </w:p>
    <w:p w:rsidR="001D527A" w:rsidRPr="009E77DD" w:rsidRDefault="001D527A" w:rsidP="00ED7A82">
      <w:pPr>
        <w:pStyle w:val="ListParagraph"/>
        <w:numPr>
          <w:ilvl w:val="0"/>
          <w:numId w:val="2"/>
        </w:numPr>
        <w:rPr>
          <w:rFonts w:ascii="Arial" w:hAnsi="Arial" w:cs="Arial"/>
          <w:b/>
          <w:sz w:val="24"/>
          <w:szCs w:val="24"/>
        </w:rPr>
      </w:pPr>
      <w:r w:rsidRPr="009E77DD">
        <w:rPr>
          <w:rFonts w:ascii="Arial" w:hAnsi="Arial" w:cs="Arial"/>
          <w:b/>
          <w:sz w:val="24"/>
          <w:szCs w:val="24"/>
        </w:rPr>
        <w:t xml:space="preserve">The right to choose where and with whom to live </w:t>
      </w:r>
      <w:r w:rsidRPr="009E77DD">
        <w:rPr>
          <w:rFonts w:ascii="Arial" w:hAnsi="Arial" w:cs="Arial"/>
          <w:sz w:val="24"/>
          <w:szCs w:val="24"/>
        </w:rPr>
        <w:t>and not to be forced or pressurised into particular living arrangement</w:t>
      </w:r>
      <w:r w:rsidR="00930A90" w:rsidRPr="009E77DD">
        <w:rPr>
          <w:rFonts w:ascii="Arial" w:hAnsi="Arial" w:cs="Arial"/>
          <w:sz w:val="24"/>
          <w:szCs w:val="24"/>
        </w:rPr>
        <w:t>s</w:t>
      </w:r>
      <w:r w:rsidR="009872E0">
        <w:rPr>
          <w:rFonts w:ascii="Arial" w:hAnsi="Arial" w:cs="Arial"/>
          <w:sz w:val="24"/>
          <w:szCs w:val="24"/>
        </w:rPr>
        <w:t xml:space="preserve">, </w:t>
      </w:r>
      <w:r w:rsidRPr="009E77DD">
        <w:rPr>
          <w:rFonts w:ascii="Arial" w:hAnsi="Arial" w:cs="Arial"/>
          <w:sz w:val="24"/>
          <w:szCs w:val="24"/>
        </w:rPr>
        <w:t>including the right to take risks</w:t>
      </w:r>
      <w:r w:rsidR="00F14E9E" w:rsidRPr="009E77DD">
        <w:rPr>
          <w:rFonts w:ascii="Arial" w:hAnsi="Arial" w:cs="Arial"/>
          <w:sz w:val="24"/>
          <w:szCs w:val="24"/>
        </w:rPr>
        <w:t xml:space="preserve">, within reason, when making </w:t>
      </w:r>
      <w:r w:rsidR="00E41B96" w:rsidRPr="009E77DD">
        <w:rPr>
          <w:rFonts w:ascii="Arial" w:hAnsi="Arial" w:cs="Arial"/>
          <w:sz w:val="24"/>
          <w:szCs w:val="24"/>
        </w:rPr>
        <w:t>choice</w:t>
      </w:r>
      <w:r w:rsidR="00F14E9E" w:rsidRPr="009E77DD">
        <w:rPr>
          <w:rFonts w:ascii="Arial" w:hAnsi="Arial" w:cs="Arial"/>
          <w:sz w:val="24"/>
          <w:szCs w:val="24"/>
        </w:rPr>
        <w:t>s</w:t>
      </w:r>
      <w:r w:rsidR="00E41B96" w:rsidRPr="009E77DD">
        <w:rPr>
          <w:rFonts w:ascii="Arial" w:hAnsi="Arial" w:cs="Arial"/>
          <w:sz w:val="24"/>
          <w:szCs w:val="24"/>
        </w:rPr>
        <w:t xml:space="preserve"> about living arrangements.</w:t>
      </w:r>
      <w:r w:rsidRPr="009E77DD">
        <w:rPr>
          <w:rFonts w:ascii="Arial" w:hAnsi="Arial" w:cs="Arial"/>
          <w:sz w:val="24"/>
          <w:szCs w:val="24"/>
        </w:rPr>
        <w:t xml:space="preserve"> </w:t>
      </w:r>
    </w:p>
    <w:p w:rsidR="001D527A" w:rsidRPr="009E77DD" w:rsidRDefault="001D527A" w:rsidP="00ED7A82">
      <w:pPr>
        <w:pStyle w:val="ListParagraph"/>
        <w:numPr>
          <w:ilvl w:val="0"/>
          <w:numId w:val="2"/>
        </w:numPr>
        <w:rPr>
          <w:rFonts w:ascii="Arial" w:hAnsi="Arial" w:cs="Arial"/>
          <w:b/>
          <w:sz w:val="24"/>
          <w:szCs w:val="24"/>
        </w:rPr>
      </w:pPr>
      <w:r w:rsidRPr="009E77DD">
        <w:rPr>
          <w:rFonts w:ascii="Arial" w:hAnsi="Arial" w:cs="Arial"/>
          <w:b/>
          <w:sz w:val="24"/>
          <w:szCs w:val="24"/>
        </w:rPr>
        <w:t>The right to access a range of options and appropriate support</w:t>
      </w:r>
      <w:r w:rsidRPr="009E77DD">
        <w:rPr>
          <w:rFonts w:ascii="Arial" w:hAnsi="Arial" w:cs="Arial"/>
          <w:sz w:val="24"/>
          <w:szCs w:val="24"/>
        </w:rPr>
        <w:t xml:space="preserve"> to enable choice and control over living arrangements.</w:t>
      </w:r>
    </w:p>
    <w:p w:rsidR="001D527A" w:rsidRPr="009E77DD" w:rsidRDefault="001D527A" w:rsidP="00ED7A82">
      <w:pPr>
        <w:pStyle w:val="ListParagraph"/>
        <w:numPr>
          <w:ilvl w:val="0"/>
          <w:numId w:val="2"/>
        </w:numPr>
        <w:rPr>
          <w:rFonts w:ascii="Arial" w:hAnsi="Arial" w:cs="Arial"/>
          <w:b/>
          <w:sz w:val="24"/>
          <w:szCs w:val="24"/>
        </w:rPr>
      </w:pPr>
      <w:r w:rsidRPr="009E77DD">
        <w:rPr>
          <w:rFonts w:ascii="Arial" w:hAnsi="Arial" w:cs="Arial"/>
          <w:b/>
          <w:sz w:val="24"/>
          <w:szCs w:val="24"/>
        </w:rPr>
        <w:t xml:space="preserve">The right </w:t>
      </w:r>
      <w:r w:rsidR="003B2159">
        <w:rPr>
          <w:rFonts w:ascii="Arial" w:hAnsi="Arial" w:cs="Arial"/>
          <w:b/>
          <w:sz w:val="24"/>
          <w:szCs w:val="24"/>
        </w:rPr>
        <w:t xml:space="preserve">to access </w:t>
      </w:r>
      <w:r w:rsidRPr="009E77DD">
        <w:rPr>
          <w:rFonts w:ascii="Arial" w:hAnsi="Arial" w:cs="Arial"/>
          <w:b/>
          <w:sz w:val="24"/>
          <w:szCs w:val="24"/>
        </w:rPr>
        <w:t>a range of in-home, residential and community support services</w:t>
      </w:r>
      <w:r w:rsidRPr="009E77DD">
        <w:rPr>
          <w:rFonts w:ascii="Arial" w:hAnsi="Arial" w:cs="Arial"/>
          <w:sz w:val="24"/>
          <w:szCs w:val="24"/>
        </w:rPr>
        <w:t>, including personalised assist</w:t>
      </w:r>
      <w:r w:rsidR="003B2159">
        <w:rPr>
          <w:rFonts w:ascii="Arial" w:hAnsi="Arial" w:cs="Arial"/>
          <w:sz w:val="24"/>
          <w:szCs w:val="24"/>
        </w:rPr>
        <w:t>ance, enabling inclusion in</w:t>
      </w:r>
      <w:r w:rsidRPr="009E77DD">
        <w:rPr>
          <w:rFonts w:ascii="Arial" w:hAnsi="Arial" w:cs="Arial"/>
          <w:sz w:val="24"/>
          <w:szCs w:val="24"/>
        </w:rPr>
        <w:t xml:space="preserve"> all areas of life.</w:t>
      </w:r>
    </w:p>
    <w:p w:rsidR="001D527A" w:rsidRPr="009E77DD" w:rsidRDefault="001D527A" w:rsidP="00ED7A82">
      <w:pPr>
        <w:pStyle w:val="ListParagraph"/>
        <w:numPr>
          <w:ilvl w:val="0"/>
          <w:numId w:val="2"/>
        </w:numPr>
        <w:rPr>
          <w:rFonts w:ascii="Arial" w:hAnsi="Arial" w:cs="Arial"/>
          <w:sz w:val="24"/>
          <w:szCs w:val="24"/>
        </w:rPr>
      </w:pPr>
      <w:r w:rsidRPr="009E77DD">
        <w:rPr>
          <w:rFonts w:ascii="Arial" w:hAnsi="Arial" w:cs="Arial"/>
          <w:b/>
          <w:sz w:val="24"/>
          <w:szCs w:val="24"/>
        </w:rPr>
        <w:t>The equal right to access general services within the community</w:t>
      </w:r>
      <w:r w:rsidRPr="009E77DD">
        <w:rPr>
          <w:rFonts w:ascii="Arial" w:hAnsi="Arial" w:cs="Arial"/>
          <w:sz w:val="24"/>
          <w:szCs w:val="24"/>
        </w:rPr>
        <w:t>, including housing, transport, shops, banking, finan</w:t>
      </w:r>
      <w:r w:rsidR="009C5AC8" w:rsidRPr="009E77DD">
        <w:rPr>
          <w:rFonts w:ascii="Arial" w:hAnsi="Arial" w:cs="Arial"/>
          <w:sz w:val="24"/>
          <w:szCs w:val="24"/>
        </w:rPr>
        <w:t>cial services, and the internet</w:t>
      </w:r>
      <w:r w:rsidRPr="009E77DD">
        <w:rPr>
          <w:rFonts w:ascii="Arial" w:hAnsi="Arial" w:cs="Arial"/>
          <w:sz w:val="24"/>
          <w:szCs w:val="24"/>
        </w:rPr>
        <w:t>.</w:t>
      </w:r>
    </w:p>
    <w:p w:rsidR="001D527A" w:rsidRPr="009E77DD" w:rsidRDefault="001D527A" w:rsidP="00ED7A82">
      <w:pPr>
        <w:pStyle w:val="ListParagraph"/>
        <w:numPr>
          <w:ilvl w:val="0"/>
          <w:numId w:val="2"/>
        </w:numPr>
        <w:rPr>
          <w:rFonts w:ascii="Arial" w:hAnsi="Arial" w:cs="Arial"/>
          <w:sz w:val="24"/>
          <w:szCs w:val="24"/>
        </w:rPr>
      </w:pPr>
      <w:r w:rsidRPr="009E77DD">
        <w:rPr>
          <w:rFonts w:ascii="Arial" w:hAnsi="Arial" w:cs="Arial"/>
          <w:b/>
          <w:sz w:val="24"/>
          <w:szCs w:val="24"/>
        </w:rPr>
        <w:t xml:space="preserve">The right to reasonable adjustments/accommodations </w:t>
      </w:r>
      <w:r w:rsidRPr="009E77DD">
        <w:rPr>
          <w:rFonts w:ascii="Arial" w:hAnsi="Arial" w:cs="Arial"/>
          <w:sz w:val="24"/>
          <w:szCs w:val="24"/>
        </w:rPr>
        <w:t xml:space="preserve">to ensure access </w:t>
      </w:r>
      <w:r w:rsidR="009C5AC8" w:rsidRPr="009E77DD">
        <w:rPr>
          <w:rFonts w:ascii="Arial" w:hAnsi="Arial" w:cs="Arial"/>
          <w:sz w:val="24"/>
          <w:szCs w:val="24"/>
        </w:rPr>
        <w:t xml:space="preserve">to </w:t>
      </w:r>
      <w:r w:rsidRPr="009E77DD">
        <w:rPr>
          <w:rFonts w:ascii="Arial" w:hAnsi="Arial" w:cs="Arial"/>
          <w:sz w:val="24"/>
          <w:szCs w:val="24"/>
        </w:rPr>
        <w:t>and inclusion in employment, goods and services.</w:t>
      </w:r>
    </w:p>
    <w:p w:rsidR="001D527A" w:rsidRPr="009E77DD" w:rsidRDefault="00E95D49" w:rsidP="00C04DF5">
      <w:pPr>
        <w:rPr>
          <w:rFonts w:ascii="Arial" w:hAnsi="Arial" w:cs="Arial"/>
          <w:sz w:val="24"/>
          <w:szCs w:val="24"/>
        </w:rPr>
      </w:pPr>
      <w:r w:rsidRPr="009E77DD">
        <w:rPr>
          <w:rFonts w:ascii="Arial" w:hAnsi="Arial" w:cs="Arial"/>
          <w:sz w:val="24"/>
          <w:szCs w:val="24"/>
        </w:rPr>
        <w:t xml:space="preserve">Corresponding </w:t>
      </w:r>
      <w:r w:rsidR="00264FBC" w:rsidRPr="009E77DD">
        <w:rPr>
          <w:rFonts w:ascii="Arial" w:hAnsi="Arial" w:cs="Arial"/>
          <w:sz w:val="24"/>
          <w:szCs w:val="24"/>
        </w:rPr>
        <w:t>State Party obligations c</w:t>
      </w:r>
      <w:r w:rsidRPr="009E77DD">
        <w:rPr>
          <w:rFonts w:ascii="Arial" w:hAnsi="Arial" w:cs="Arial"/>
          <w:sz w:val="24"/>
          <w:szCs w:val="24"/>
        </w:rPr>
        <w:t xml:space="preserve">ould include undertaking all appropriate legislative, administrative, policy, programmatic and other measures to respect, protect and fulfil the normative elements of the rights to </w:t>
      </w:r>
      <w:r w:rsidR="00C04DF5" w:rsidRPr="009E77DD">
        <w:rPr>
          <w:rFonts w:ascii="Arial" w:hAnsi="Arial" w:cs="Arial"/>
          <w:sz w:val="24"/>
          <w:szCs w:val="24"/>
        </w:rPr>
        <w:t>autonomy and independence</w:t>
      </w:r>
      <w:r w:rsidRPr="009E77DD">
        <w:rPr>
          <w:rFonts w:ascii="Arial" w:hAnsi="Arial" w:cs="Arial"/>
          <w:sz w:val="24"/>
          <w:szCs w:val="24"/>
        </w:rPr>
        <w:t>. Some normative elements will entail immediate obligations, whereas others may be subject to obligations of progressive realisation according to the maximum available resources</w:t>
      </w:r>
      <w:r w:rsidR="006B00E3" w:rsidRPr="009E77DD">
        <w:rPr>
          <w:rFonts w:ascii="Arial" w:hAnsi="Arial" w:cs="Arial"/>
          <w:sz w:val="24"/>
          <w:szCs w:val="24"/>
        </w:rPr>
        <w:t xml:space="preserve">, following established international human rights </w:t>
      </w:r>
      <w:r w:rsidR="00382531" w:rsidRPr="009E77DD">
        <w:rPr>
          <w:rFonts w:ascii="Arial" w:hAnsi="Arial" w:cs="Arial"/>
          <w:sz w:val="24"/>
          <w:szCs w:val="24"/>
        </w:rPr>
        <w:t xml:space="preserve">principles and </w:t>
      </w:r>
      <w:r w:rsidR="006B00E3" w:rsidRPr="009E77DD">
        <w:rPr>
          <w:rFonts w:ascii="Arial" w:hAnsi="Arial" w:cs="Arial"/>
          <w:sz w:val="24"/>
          <w:szCs w:val="24"/>
        </w:rPr>
        <w:t>jurisprudence.</w:t>
      </w:r>
    </w:p>
    <w:p w:rsidR="00112E5C" w:rsidRPr="009E77DD" w:rsidRDefault="00112E5C" w:rsidP="00C04DF5">
      <w:pPr>
        <w:rPr>
          <w:rFonts w:ascii="Arial" w:hAnsi="Arial" w:cs="Arial"/>
          <w:sz w:val="24"/>
          <w:szCs w:val="24"/>
        </w:rPr>
      </w:pPr>
    </w:p>
    <w:p w:rsidR="001D527A" w:rsidRPr="009376BB" w:rsidRDefault="001D527A" w:rsidP="00ED7A82">
      <w:pPr>
        <w:pStyle w:val="ListParagraph"/>
        <w:numPr>
          <w:ilvl w:val="0"/>
          <w:numId w:val="6"/>
        </w:numPr>
        <w:rPr>
          <w:rFonts w:ascii="Arial" w:hAnsi="Arial" w:cs="Arial"/>
          <w:b/>
          <w:sz w:val="28"/>
          <w:szCs w:val="24"/>
          <w:u w:val="single"/>
        </w:rPr>
      </w:pPr>
      <w:r w:rsidRPr="009376BB">
        <w:rPr>
          <w:rFonts w:ascii="Arial" w:hAnsi="Arial" w:cs="Arial"/>
          <w:b/>
          <w:sz w:val="28"/>
          <w:szCs w:val="24"/>
          <w:u w:val="single"/>
        </w:rPr>
        <w:t>PALLIATIVE AND LONG-TERM CARE</w:t>
      </w:r>
    </w:p>
    <w:p w:rsidR="001D527A" w:rsidRPr="009E77DD" w:rsidRDefault="001D527A" w:rsidP="005E4626">
      <w:pPr>
        <w:rPr>
          <w:rFonts w:ascii="Arial" w:hAnsi="Arial" w:cs="Arial"/>
          <w:b/>
          <w:sz w:val="24"/>
          <w:szCs w:val="24"/>
        </w:rPr>
      </w:pPr>
      <w:r w:rsidRPr="009E77DD">
        <w:rPr>
          <w:rFonts w:ascii="Arial" w:hAnsi="Arial" w:cs="Arial"/>
          <w:b/>
          <w:sz w:val="24"/>
          <w:szCs w:val="24"/>
        </w:rPr>
        <w:t>Current framework:</w:t>
      </w:r>
    </w:p>
    <w:p w:rsidR="001D527A" w:rsidRPr="009E77DD" w:rsidRDefault="001D527A" w:rsidP="00ED7A82">
      <w:pPr>
        <w:pStyle w:val="ListParagraph"/>
        <w:numPr>
          <w:ilvl w:val="0"/>
          <w:numId w:val="7"/>
        </w:numPr>
        <w:rPr>
          <w:rFonts w:ascii="Arial" w:hAnsi="Arial" w:cs="Arial"/>
          <w:i/>
          <w:sz w:val="24"/>
          <w:szCs w:val="24"/>
        </w:rPr>
      </w:pPr>
      <w:r w:rsidRPr="009E77DD">
        <w:rPr>
          <w:rFonts w:ascii="Arial" w:hAnsi="Arial" w:cs="Arial"/>
          <w:i/>
          <w:sz w:val="24"/>
          <w:szCs w:val="24"/>
          <w:u w:val="single"/>
        </w:rPr>
        <w:t>The right to the highest attainable standard of health:</w:t>
      </w:r>
      <w:r w:rsidRPr="009E77DD">
        <w:rPr>
          <w:rFonts w:ascii="Arial" w:hAnsi="Arial" w:cs="Arial"/>
          <w:i/>
          <w:sz w:val="24"/>
          <w:szCs w:val="24"/>
        </w:rPr>
        <w:t xml:space="preserve"> </w:t>
      </w:r>
      <w:r w:rsidRPr="009E77DD">
        <w:rPr>
          <w:rFonts w:ascii="Arial" w:hAnsi="Arial" w:cs="Arial"/>
          <w:sz w:val="24"/>
          <w:szCs w:val="24"/>
        </w:rPr>
        <w:t xml:space="preserve">Palliative care is not explicitly included in Article 12 of the International Covenant on Economic, Social and Cultural Rights (ICESCR). However, </w:t>
      </w:r>
      <w:r w:rsidR="006D5B86" w:rsidRPr="009E77DD">
        <w:rPr>
          <w:rFonts w:ascii="Arial" w:hAnsi="Arial" w:cs="Arial"/>
          <w:sz w:val="24"/>
          <w:szCs w:val="24"/>
        </w:rPr>
        <w:t xml:space="preserve">interpretation </w:t>
      </w:r>
      <w:r w:rsidR="00182D17" w:rsidRPr="009E77DD">
        <w:rPr>
          <w:rFonts w:ascii="Arial" w:hAnsi="Arial" w:cs="Arial"/>
          <w:sz w:val="24"/>
          <w:szCs w:val="24"/>
        </w:rPr>
        <w:t>of Article 12 in relation to older people includes</w:t>
      </w:r>
      <w:r w:rsidR="006D5B86" w:rsidRPr="009E77DD">
        <w:rPr>
          <w:rFonts w:ascii="Arial" w:hAnsi="Arial" w:cs="Arial"/>
          <w:sz w:val="24"/>
          <w:szCs w:val="24"/>
        </w:rPr>
        <w:t xml:space="preserve"> a</w:t>
      </w:r>
      <w:r w:rsidR="009B6F1C" w:rsidRPr="009E77DD">
        <w:rPr>
          <w:rFonts w:ascii="Arial" w:hAnsi="Arial" w:cs="Arial"/>
          <w:sz w:val="24"/>
          <w:szCs w:val="24"/>
        </w:rPr>
        <w:t xml:space="preserve"> requirement</w:t>
      </w:r>
      <w:r w:rsidR="00182D17" w:rsidRPr="009E77DD">
        <w:rPr>
          <w:rFonts w:ascii="Arial" w:hAnsi="Arial" w:cs="Arial"/>
          <w:sz w:val="24"/>
          <w:szCs w:val="24"/>
        </w:rPr>
        <w:t xml:space="preserve"> </w:t>
      </w:r>
      <w:r w:rsidR="009B6F1C" w:rsidRPr="009E77DD">
        <w:rPr>
          <w:rFonts w:ascii="Arial" w:hAnsi="Arial" w:cs="Arial"/>
          <w:sz w:val="24"/>
          <w:szCs w:val="24"/>
        </w:rPr>
        <w:t>for S</w:t>
      </w:r>
      <w:r w:rsidRPr="009E77DD">
        <w:rPr>
          <w:rFonts w:ascii="Arial" w:hAnsi="Arial" w:cs="Arial"/>
          <w:sz w:val="24"/>
          <w:szCs w:val="24"/>
        </w:rPr>
        <w:t>tates</w:t>
      </w:r>
      <w:r w:rsidR="009B6F1C" w:rsidRPr="009E77DD">
        <w:rPr>
          <w:rFonts w:ascii="Arial" w:hAnsi="Arial" w:cs="Arial"/>
          <w:sz w:val="24"/>
          <w:szCs w:val="24"/>
        </w:rPr>
        <w:t xml:space="preserve"> Parties</w:t>
      </w:r>
      <w:r w:rsidRPr="009E77DD">
        <w:rPr>
          <w:rFonts w:ascii="Arial" w:hAnsi="Arial" w:cs="Arial"/>
          <w:sz w:val="24"/>
          <w:szCs w:val="24"/>
        </w:rPr>
        <w:t xml:space="preserve"> to ensure ‘attention and care for chronically and terminally ill persons, sparing them avoidable pain and enabling them to die with dignity’.</w:t>
      </w:r>
      <w:r w:rsidRPr="009E77DD">
        <w:rPr>
          <w:rStyle w:val="EndnoteReference"/>
          <w:rFonts w:ascii="Arial" w:hAnsi="Arial" w:cs="Arial"/>
          <w:sz w:val="24"/>
          <w:szCs w:val="24"/>
        </w:rPr>
        <w:endnoteReference w:id="25"/>
      </w:r>
      <w:r w:rsidRPr="009E77DD">
        <w:rPr>
          <w:rFonts w:ascii="Arial" w:hAnsi="Arial" w:cs="Arial"/>
          <w:sz w:val="24"/>
          <w:szCs w:val="24"/>
        </w:rPr>
        <w:t xml:space="preserve"> </w:t>
      </w:r>
    </w:p>
    <w:p w:rsidR="001D527A" w:rsidRPr="009E77DD" w:rsidRDefault="001D527A" w:rsidP="0076236F">
      <w:pPr>
        <w:pStyle w:val="ListParagraph"/>
        <w:rPr>
          <w:rFonts w:ascii="Arial" w:hAnsi="Arial" w:cs="Arial"/>
          <w:i/>
          <w:sz w:val="24"/>
          <w:szCs w:val="24"/>
        </w:rPr>
      </w:pPr>
    </w:p>
    <w:p w:rsidR="000E4A5A" w:rsidRPr="009E77DD" w:rsidRDefault="001D527A" w:rsidP="001B6113">
      <w:pPr>
        <w:pStyle w:val="ListParagraph"/>
        <w:numPr>
          <w:ilvl w:val="0"/>
          <w:numId w:val="7"/>
        </w:numPr>
        <w:rPr>
          <w:rFonts w:ascii="Arial" w:hAnsi="Arial" w:cs="Arial"/>
          <w:i/>
          <w:sz w:val="24"/>
          <w:szCs w:val="24"/>
        </w:rPr>
      </w:pPr>
      <w:r w:rsidRPr="009E77DD">
        <w:rPr>
          <w:rFonts w:ascii="Arial" w:hAnsi="Arial" w:cs="Arial"/>
          <w:i/>
          <w:sz w:val="24"/>
          <w:szCs w:val="24"/>
          <w:u w:val="single"/>
        </w:rPr>
        <w:t>The right to live independently in the community:</w:t>
      </w:r>
      <w:r w:rsidRPr="009E77DD">
        <w:rPr>
          <w:rFonts w:ascii="Arial" w:hAnsi="Arial" w:cs="Arial"/>
          <w:i/>
          <w:sz w:val="24"/>
          <w:szCs w:val="24"/>
        </w:rPr>
        <w:t xml:space="preserve"> </w:t>
      </w:r>
      <w:r w:rsidRPr="009E77DD">
        <w:rPr>
          <w:rFonts w:ascii="Arial" w:hAnsi="Arial" w:cs="Arial"/>
          <w:sz w:val="24"/>
          <w:szCs w:val="24"/>
        </w:rPr>
        <w:t xml:space="preserve">As noted above in relation to autonomy and independence, UNCRPD Article 19 provides specific protection for disabled people’s right to live independently within the community, including Article 19(b) concerning access to individualised support services. UNCRPD Article 26 on </w:t>
      </w:r>
      <w:proofErr w:type="spellStart"/>
      <w:r w:rsidRPr="009E77DD">
        <w:rPr>
          <w:rFonts w:ascii="Arial" w:hAnsi="Arial" w:cs="Arial"/>
          <w:sz w:val="24"/>
          <w:szCs w:val="24"/>
        </w:rPr>
        <w:t>habilitation</w:t>
      </w:r>
      <w:proofErr w:type="spellEnd"/>
      <w:r w:rsidRPr="009E77DD">
        <w:rPr>
          <w:rFonts w:ascii="Arial" w:hAnsi="Arial" w:cs="Arial"/>
          <w:sz w:val="24"/>
          <w:szCs w:val="24"/>
        </w:rPr>
        <w:t xml:space="preserve"> and rehabilitation is also important for enabling people to live independently in their communities.</w:t>
      </w:r>
    </w:p>
    <w:p w:rsidR="000E4A5A" w:rsidRPr="009E77DD" w:rsidRDefault="000E4A5A" w:rsidP="000E4A5A">
      <w:pPr>
        <w:pStyle w:val="ListParagraph"/>
        <w:rPr>
          <w:rFonts w:ascii="Arial" w:hAnsi="Arial" w:cs="Arial"/>
          <w:i/>
          <w:sz w:val="24"/>
          <w:szCs w:val="24"/>
          <w:u w:val="single"/>
        </w:rPr>
      </w:pPr>
    </w:p>
    <w:p w:rsidR="001D527A" w:rsidRPr="009E77DD" w:rsidRDefault="00460122" w:rsidP="001B6113">
      <w:pPr>
        <w:pStyle w:val="ListParagraph"/>
        <w:numPr>
          <w:ilvl w:val="0"/>
          <w:numId w:val="7"/>
        </w:numPr>
        <w:rPr>
          <w:rFonts w:ascii="Arial" w:hAnsi="Arial" w:cs="Arial"/>
          <w:i/>
          <w:sz w:val="24"/>
          <w:szCs w:val="24"/>
        </w:rPr>
      </w:pPr>
      <w:r w:rsidRPr="009E77DD">
        <w:rPr>
          <w:rFonts w:ascii="Arial" w:hAnsi="Arial" w:cs="Arial"/>
          <w:i/>
          <w:sz w:val="24"/>
          <w:szCs w:val="24"/>
          <w:u w:val="single"/>
        </w:rPr>
        <w:t>The right to</w:t>
      </w:r>
      <w:r w:rsidR="000A54EF" w:rsidRPr="009E77DD">
        <w:rPr>
          <w:rFonts w:ascii="Arial" w:hAnsi="Arial" w:cs="Arial"/>
          <w:i/>
          <w:sz w:val="24"/>
          <w:szCs w:val="24"/>
          <w:u w:val="single"/>
        </w:rPr>
        <w:t xml:space="preserve"> liberty, security,</w:t>
      </w:r>
      <w:r w:rsidRPr="009E77DD">
        <w:rPr>
          <w:rFonts w:ascii="Arial" w:hAnsi="Arial" w:cs="Arial"/>
          <w:i/>
          <w:sz w:val="24"/>
          <w:szCs w:val="24"/>
          <w:u w:val="single"/>
        </w:rPr>
        <w:t xml:space="preserve"> personal integrity,</w:t>
      </w:r>
      <w:r w:rsidR="001D527A" w:rsidRPr="009E77DD">
        <w:rPr>
          <w:rFonts w:ascii="Arial" w:hAnsi="Arial" w:cs="Arial"/>
          <w:i/>
          <w:sz w:val="24"/>
          <w:szCs w:val="24"/>
          <w:u w:val="single"/>
        </w:rPr>
        <w:t xml:space="preserve"> and freedom from torture, inhuman or degrading treatment:</w:t>
      </w:r>
      <w:r w:rsidR="001D527A" w:rsidRPr="009E77DD">
        <w:rPr>
          <w:rFonts w:ascii="Arial" w:hAnsi="Arial" w:cs="Arial"/>
          <w:sz w:val="24"/>
          <w:szCs w:val="24"/>
        </w:rPr>
        <w:t xml:space="preserve">  </w:t>
      </w:r>
      <w:r w:rsidR="005E5938" w:rsidRPr="009E77DD">
        <w:rPr>
          <w:rFonts w:ascii="Arial" w:hAnsi="Arial" w:cs="Arial"/>
          <w:sz w:val="24"/>
          <w:szCs w:val="24"/>
        </w:rPr>
        <w:t xml:space="preserve">The normative elements </w:t>
      </w:r>
      <w:r w:rsidR="000A54EF" w:rsidRPr="009E77DD">
        <w:rPr>
          <w:rFonts w:ascii="Arial" w:hAnsi="Arial" w:cs="Arial"/>
          <w:sz w:val="24"/>
          <w:szCs w:val="24"/>
        </w:rPr>
        <w:t xml:space="preserve">of liberty, security and personal integrity </w:t>
      </w:r>
      <w:r w:rsidR="00A14C08" w:rsidRPr="009E77DD">
        <w:rPr>
          <w:rFonts w:ascii="Arial" w:hAnsi="Arial" w:cs="Arial"/>
          <w:sz w:val="24"/>
          <w:szCs w:val="24"/>
        </w:rPr>
        <w:t>outlined above</w:t>
      </w:r>
      <w:r w:rsidR="00660A20" w:rsidRPr="009E77DD">
        <w:rPr>
          <w:rFonts w:ascii="Arial" w:hAnsi="Arial" w:cs="Arial"/>
          <w:sz w:val="24"/>
          <w:szCs w:val="24"/>
        </w:rPr>
        <w:t xml:space="preserve"> in relation to</w:t>
      </w:r>
      <w:r w:rsidR="005E5938" w:rsidRPr="009E77DD">
        <w:rPr>
          <w:rFonts w:ascii="Arial" w:hAnsi="Arial" w:cs="Arial"/>
          <w:sz w:val="24"/>
          <w:szCs w:val="24"/>
        </w:rPr>
        <w:t xml:space="preserve"> autonomy and independence are also relevant to palliative and long-term care</w:t>
      </w:r>
      <w:r w:rsidR="00AD0B2C" w:rsidRPr="009E77DD">
        <w:rPr>
          <w:rFonts w:ascii="Arial" w:hAnsi="Arial" w:cs="Arial"/>
          <w:sz w:val="24"/>
          <w:szCs w:val="24"/>
        </w:rPr>
        <w:t xml:space="preserve">. </w:t>
      </w:r>
      <w:r w:rsidR="00F94358" w:rsidRPr="009E77DD">
        <w:rPr>
          <w:rFonts w:ascii="Arial" w:hAnsi="Arial" w:cs="Arial"/>
          <w:sz w:val="24"/>
          <w:szCs w:val="24"/>
        </w:rPr>
        <w:t>The right to freedom from torture, inhuman or degrading</w:t>
      </w:r>
      <w:r w:rsidR="000F0B52" w:rsidRPr="009E77DD">
        <w:rPr>
          <w:rFonts w:ascii="Arial" w:hAnsi="Arial" w:cs="Arial"/>
          <w:sz w:val="24"/>
          <w:szCs w:val="24"/>
        </w:rPr>
        <w:t xml:space="preserve"> treatment set out</w:t>
      </w:r>
      <w:r w:rsidR="00F94358" w:rsidRPr="009E77DD">
        <w:rPr>
          <w:rFonts w:ascii="Arial" w:hAnsi="Arial" w:cs="Arial"/>
          <w:sz w:val="24"/>
          <w:szCs w:val="24"/>
        </w:rPr>
        <w:t xml:space="preserve"> in </w:t>
      </w:r>
      <w:r w:rsidR="001D527A" w:rsidRPr="009E77DD">
        <w:rPr>
          <w:rFonts w:ascii="Arial" w:hAnsi="Arial" w:cs="Arial"/>
          <w:sz w:val="24"/>
          <w:szCs w:val="24"/>
        </w:rPr>
        <w:t>Article 7 of the ICCPR,</w:t>
      </w:r>
      <w:r w:rsidR="009A05B0" w:rsidRPr="009E77DD">
        <w:rPr>
          <w:rFonts w:ascii="Arial" w:hAnsi="Arial" w:cs="Arial"/>
          <w:sz w:val="24"/>
          <w:szCs w:val="24"/>
        </w:rPr>
        <w:t xml:space="preserve"> and </w:t>
      </w:r>
      <w:r w:rsidR="00F94358" w:rsidRPr="009E77DD">
        <w:rPr>
          <w:rFonts w:ascii="Arial" w:hAnsi="Arial" w:cs="Arial"/>
          <w:sz w:val="24"/>
          <w:szCs w:val="24"/>
        </w:rPr>
        <w:t xml:space="preserve">in </w:t>
      </w:r>
      <w:r w:rsidR="009A05B0" w:rsidRPr="009E77DD">
        <w:rPr>
          <w:rFonts w:ascii="Arial" w:hAnsi="Arial" w:cs="Arial"/>
          <w:sz w:val="24"/>
          <w:szCs w:val="24"/>
        </w:rPr>
        <w:t xml:space="preserve">the </w:t>
      </w:r>
      <w:r w:rsidR="001D527A" w:rsidRPr="009E77DD">
        <w:rPr>
          <w:rFonts w:ascii="Arial" w:hAnsi="Arial" w:cs="Arial"/>
          <w:sz w:val="24"/>
          <w:szCs w:val="24"/>
        </w:rPr>
        <w:t xml:space="preserve">Convention </w:t>
      </w:r>
      <w:proofErr w:type="gramStart"/>
      <w:r w:rsidR="001D527A" w:rsidRPr="009E77DD">
        <w:rPr>
          <w:rFonts w:ascii="Arial" w:hAnsi="Arial" w:cs="Arial"/>
          <w:sz w:val="24"/>
          <w:szCs w:val="24"/>
        </w:rPr>
        <w:t>Against</w:t>
      </w:r>
      <w:proofErr w:type="gramEnd"/>
      <w:r w:rsidR="001D527A" w:rsidRPr="009E77DD">
        <w:rPr>
          <w:rFonts w:ascii="Arial" w:hAnsi="Arial" w:cs="Arial"/>
          <w:sz w:val="24"/>
          <w:szCs w:val="24"/>
        </w:rPr>
        <w:t xml:space="preserve"> Torture, are</w:t>
      </w:r>
      <w:r w:rsidR="005E5938" w:rsidRPr="009E77DD">
        <w:rPr>
          <w:rFonts w:ascii="Arial" w:hAnsi="Arial" w:cs="Arial"/>
          <w:sz w:val="24"/>
          <w:szCs w:val="24"/>
        </w:rPr>
        <w:t xml:space="preserve"> also</w:t>
      </w:r>
      <w:r w:rsidR="001D527A" w:rsidRPr="009E77DD">
        <w:rPr>
          <w:rFonts w:ascii="Arial" w:hAnsi="Arial" w:cs="Arial"/>
          <w:sz w:val="24"/>
          <w:szCs w:val="24"/>
        </w:rPr>
        <w:t xml:space="preserve"> applic</w:t>
      </w:r>
      <w:r w:rsidR="00F94358" w:rsidRPr="009E77DD">
        <w:rPr>
          <w:rFonts w:ascii="Arial" w:hAnsi="Arial" w:cs="Arial"/>
          <w:sz w:val="24"/>
          <w:szCs w:val="24"/>
        </w:rPr>
        <w:t>able to long-term care settings</w:t>
      </w:r>
      <w:r w:rsidR="001D527A" w:rsidRPr="009E77DD">
        <w:rPr>
          <w:rFonts w:ascii="Arial" w:hAnsi="Arial" w:cs="Arial"/>
          <w:sz w:val="24"/>
          <w:szCs w:val="24"/>
        </w:rPr>
        <w:t xml:space="preserve"> and in relation to a lack of pain relief in palliative care.</w:t>
      </w:r>
      <w:r w:rsidR="001D527A" w:rsidRPr="009E77DD">
        <w:rPr>
          <w:rStyle w:val="EndnoteReference"/>
          <w:rFonts w:ascii="Arial" w:hAnsi="Arial" w:cs="Arial"/>
          <w:sz w:val="24"/>
          <w:szCs w:val="24"/>
        </w:rPr>
        <w:endnoteReference w:id="26"/>
      </w:r>
    </w:p>
    <w:p w:rsidR="001D527A" w:rsidRPr="009E77DD" w:rsidRDefault="001D527A" w:rsidP="004D230D">
      <w:pPr>
        <w:rPr>
          <w:rFonts w:ascii="Arial" w:hAnsi="Arial" w:cs="Arial"/>
          <w:b/>
          <w:sz w:val="24"/>
          <w:szCs w:val="24"/>
        </w:rPr>
      </w:pPr>
      <w:r w:rsidRPr="009E77DD">
        <w:rPr>
          <w:rFonts w:ascii="Arial" w:hAnsi="Arial" w:cs="Arial"/>
          <w:b/>
          <w:sz w:val="24"/>
          <w:szCs w:val="24"/>
        </w:rPr>
        <w:t>Gaps in the current framework</w:t>
      </w:r>
      <w:r w:rsidR="003E6840">
        <w:rPr>
          <w:rFonts w:ascii="Arial" w:hAnsi="Arial" w:cs="Arial"/>
          <w:b/>
          <w:sz w:val="24"/>
          <w:szCs w:val="24"/>
        </w:rPr>
        <w:t>:</w:t>
      </w:r>
    </w:p>
    <w:p w:rsidR="001D527A" w:rsidRPr="009E77DD" w:rsidRDefault="001D527A" w:rsidP="00EE2860">
      <w:pPr>
        <w:rPr>
          <w:rFonts w:ascii="Arial" w:hAnsi="Arial" w:cs="Arial"/>
          <w:sz w:val="24"/>
          <w:szCs w:val="24"/>
        </w:rPr>
      </w:pPr>
      <w:r w:rsidRPr="009E77DD">
        <w:rPr>
          <w:rFonts w:ascii="Arial" w:hAnsi="Arial" w:cs="Arial"/>
          <w:sz w:val="24"/>
          <w:szCs w:val="24"/>
        </w:rPr>
        <w:t>Palliative</w:t>
      </w:r>
      <w:r w:rsidRPr="009E77DD">
        <w:rPr>
          <w:rStyle w:val="EndnoteReference"/>
          <w:rFonts w:ascii="Arial" w:hAnsi="Arial" w:cs="Arial"/>
          <w:sz w:val="24"/>
          <w:szCs w:val="24"/>
        </w:rPr>
        <w:endnoteReference w:id="27"/>
      </w:r>
      <w:r w:rsidRPr="009E77DD">
        <w:rPr>
          <w:rFonts w:ascii="Arial" w:hAnsi="Arial" w:cs="Arial"/>
          <w:sz w:val="24"/>
          <w:szCs w:val="24"/>
        </w:rPr>
        <w:t xml:space="preserve"> and long-term care are central for the dignity and independence of many older people, but evidence indicates that older people experience unequal access to palliative care,</w:t>
      </w:r>
      <w:r w:rsidRPr="009E77DD">
        <w:rPr>
          <w:rStyle w:val="EndnoteReference"/>
          <w:rFonts w:ascii="Arial" w:hAnsi="Arial" w:cs="Arial"/>
          <w:sz w:val="24"/>
          <w:szCs w:val="24"/>
        </w:rPr>
        <w:endnoteReference w:id="28"/>
      </w:r>
      <w:r w:rsidRPr="009E77DD">
        <w:rPr>
          <w:rFonts w:ascii="Arial" w:hAnsi="Arial" w:cs="Arial"/>
          <w:sz w:val="24"/>
          <w:szCs w:val="24"/>
        </w:rPr>
        <w:t xml:space="preserve"> </w:t>
      </w:r>
      <w:r w:rsidR="0024282A" w:rsidRPr="009E77DD">
        <w:rPr>
          <w:rFonts w:ascii="Arial" w:hAnsi="Arial" w:cs="Arial"/>
          <w:sz w:val="24"/>
          <w:szCs w:val="24"/>
        </w:rPr>
        <w:t>with their needs</w:t>
      </w:r>
      <w:r w:rsidRPr="009E77DD">
        <w:rPr>
          <w:rFonts w:ascii="Arial" w:hAnsi="Arial" w:cs="Arial"/>
          <w:sz w:val="24"/>
          <w:szCs w:val="24"/>
        </w:rPr>
        <w:t xml:space="preserve"> ‘often under assessed and undertreated’.</w:t>
      </w:r>
      <w:r w:rsidRPr="009E77DD">
        <w:rPr>
          <w:rStyle w:val="EndnoteReference"/>
          <w:rFonts w:ascii="Arial" w:hAnsi="Arial" w:cs="Arial"/>
          <w:sz w:val="24"/>
          <w:szCs w:val="24"/>
        </w:rPr>
        <w:endnoteReference w:id="29"/>
      </w:r>
      <w:r w:rsidRPr="009E77DD">
        <w:rPr>
          <w:rFonts w:ascii="Arial" w:hAnsi="Arial" w:cs="Arial"/>
          <w:sz w:val="24"/>
          <w:szCs w:val="24"/>
        </w:rPr>
        <w:t xml:space="preserve"> In addition, social care services for older people often fail to provide sufficient support,</w:t>
      </w:r>
      <w:r w:rsidRPr="009E77DD">
        <w:rPr>
          <w:rStyle w:val="EndnoteReference"/>
          <w:rFonts w:ascii="Arial" w:hAnsi="Arial" w:cs="Arial"/>
          <w:sz w:val="24"/>
          <w:szCs w:val="24"/>
        </w:rPr>
        <w:endnoteReference w:id="30"/>
      </w:r>
      <w:r w:rsidRPr="009E77DD">
        <w:rPr>
          <w:rFonts w:ascii="Arial" w:hAnsi="Arial" w:cs="Arial"/>
          <w:sz w:val="24"/>
          <w:szCs w:val="24"/>
        </w:rPr>
        <w:t xml:space="preserve"> and </w:t>
      </w:r>
      <w:r w:rsidR="00EC2E4C" w:rsidRPr="009E77DD">
        <w:rPr>
          <w:rFonts w:ascii="Arial" w:hAnsi="Arial" w:cs="Arial"/>
          <w:sz w:val="24"/>
          <w:szCs w:val="24"/>
        </w:rPr>
        <w:t xml:space="preserve">older people </w:t>
      </w:r>
      <w:r w:rsidRPr="009E77DD">
        <w:rPr>
          <w:rFonts w:ascii="Arial" w:hAnsi="Arial" w:cs="Arial"/>
          <w:sz w:val="24"/>
          <w:szCs w:val="24"/>
        </w:rPr>
        <w:t>may be particularly vulnerable to infringement of their liberty</w:t>
      </w:r>
      <w:r w:rsidR="0024282A" w:rsidRPr="009E77DD">
        <w:rPr>
          <w:rFonts w:ascii="Arial" w:hAnsi="Arial" w:cs="Arial"/>
          <w:sz w:val="24"/>
          <w:szCs w:val="24"/>
        </w:rPr>
        <w:t>, security</w:t>
      </w:r>
      <w:r w:rsidRPr="009E77DD">
        <w:rPr>
          <w:rFonts w:ascii="Arial" w:hAnsi="Arial" w:cs="Arial"/>
          <w:sz w:val="24"/>
          <w:szCs w:val="24"/>
        </w:rPr>
        <w:t xml:space="preserve"> and personal integrity in care settings,</w:t>
      </w:r>
      <w:r w:rsidRPr="009E77DD">
        <w:rPr>
          <w:rStyle w:val="EndnoteReference"/>
          <w:rFonts w:ascii="Arial" w:hAnsi="Arial" w:cs="Arial"/>
          <w:sz w:val="24"/>
          <w:szCs w:val="24"/>
        </w:rPr>
        <w:endnoteReference w:id="31"/>
      </w:r>
      <w:r w:rsidRPr="009E77DD">
        <w:rPr>
          <w:rFonts w:ascii="Arial" w:hAnsi="Arial" w:cs="Arial"/>
          <w:sz w:val="24"/>
          <w:szCs w:val="24"/>
        </w:rPr>
        <w:t xml:space="preserve"> </w:t>
      </w:r>
      <w:r w:rsidR="00FB1564" w:rsidRPr="009E77DD">
        <w:rPr>
          <w:rFonts w:ascii="Arial" w:hAnsi="Arial" w:cs="Arial"/>
          <w:sz w:val="24"/>
          <w:szCs w:val="24"/>
        </w:rPr>
        <w:t xml:space="preserve">for example through the use of </w:t>
      </w:r>
      <w:r w:rsidRPr="009E77DD">
        <w:rPr>
          <w:rFonts w:ascii="Arial" w:hAnsi="Arial" w:cs="Arial"/>
          <w:sz w:val="24"/>
          <w:szCs w:val="24"/>
        </w:rPr>
        <w:t>seclusion and restraint.</w:t>
      </w:r>
      <w:r w:rsidRPr="009E77DD">
        <w:rPr>
          <w:rStyle w:val="EndnoteReference"/>
          <w:rFonts w:ascii="Arial" w:hAnsi="Arial" w:cs="Arial"/>
          <w:sz w:val="24"/>
          <w:szCs w:val="24"/>
        </w:rPr>
        <w:endnoteReference w:id="32"/>
      </w:r>
    </w:p>
    <w:p w:rsidR="001D527A" w:rsidRPr="009E77DD" w:rsidRDefault="009A05B0" w:rsidP="00EE2860">
      <w:pPr>
        <w:rPr>
          <w:rFonts w:ascii="Arial" w:hAnsi="Arial" w:cs="Arial"/>
          <w:sz w:val="24"/>
          <w:szCs w:val="24"/>
        </w:rPr>
      </w:pPr>
      <w:r w:rsidRPr="009E77DD">
        <w:rPr>
          <w:rFonts w:ascii="Arial" w:hAnsi="Arial" w:cs="Arial"/>
          <w:sz w:val="24"/>
          <w:szCs w:val="24"/>
        </w:rPr>
        <w:t>P</w:t>
      </w:r>
      <w:r w:rsidR="001D527A" w:rsidRPr="009E77DD">
        <w:rPr>
          <w:rFonts w:ascii="Arial" w:hAnsi="Arial" w:cs="Arial"/>
          <w:sz w:val="24"/>
          <w:szCs w:val="24"/>
        </w:rPr>
        <w:t>alliative care does not receive sufficient or explicit attention within the existing international human rights framework,</w:t>
      </w:r>
      <w:r w:rsidR="00DD6EF0" w:rsidRPr="009E77DD">
        <w:rPr>
          <w:rStyle w:val="EndnoteReference"/>
          <w:rFonts w:ascii="Arial" w:hAnsi="Arial" w:cs="Arial"/>
          <w:sz w:val="24"/>
          <w:szCs w:val="24"/>
        </w:rPr>
        <w:endnoteReference w:id="33"/>
      </w:r>
      <w:r w:rsidR="00DD6EF0" w:rsidRPr="009E77DD">
        <w:rPr>
          <w:rFonts w:ascii="Arial" w:hAnsi="Arial" w:cs="Arial"/>
          <w:sz w:val="24"/>
          <w:szCs w:val="24"/>
        </w:rPr>
        <w:t xml:space="preserve"> </w:t>
      </w:r>
      <w:r w:rsidR="001D527A" w:rsidRPr="009E77DD">
        <w:rPr>
          <w:rFonts w:ascii="Arial" w:hAnsi="Arial" w:cs="Arial"/>
          <w:sz w:val="24"/>
          <w:szCs w:val="24"/>
        </w:rPr>
        <w:t>and there is a need to close this gap to ensure access to holistic palliative care for older people.</w:t>
      </w:r>
      <w:r w:rsidR="001D527A" w:rsidRPr="009E77DD">
        <w:rPr>
          <w:rStyle w:val="EndnoteReference"/>
          <w:rFonts w:ascii="Arial" w:hAnsi="Arial" w:cs="Arial"/>
          <w:sz w:val="24"/>
          <w:szCs w:val="24"/>
        </w:rPr>
        <w:endnoteReference w:id="34"/>
      </w:r>
      <w:r w:rsidR="001D527A" w:rsidRPr="009E77DD">
        <w:rPr>
          <w:rFonts w:ascii="Arial" w:hAnsi="Arial" w:cs="Arial"/>
          <w:sz w:val="24"/>
          <w:szCs w:val="24"/>
        </w:rPr>
        <w:t xml:space="preserve"> In relation to long-term care, while the UNCRPD may provide some degree of protection, it falls short of protecting those older people who are not disabled, or do not identify as disabled. </w:t>
      </w:r>
      <w:r w:rsidR="001D527A" w:rsidRPr="009E77DD">
        <w:rPr>
          <w:rStyle w:val="EndnoteReference"/>
          <w:rFonts w:ascii="Arial" w:hAnsi="Arial" w:cs="Arial"/>
          <w:sz w:val="24"/>
          <w:szCs w:val="24"/>
        </w:rPr>
        <w:endnoteReference w:id="35"/>
      </w:r>
    </w:p>
    <w:p w:rsidR="00D10C4B" w:rsidRPr="009E77DD" w:rsidRDefault="00D10C4B" w:rsidP="00D10C4B">
      <w:pPr>
        <w:rPr>
          <w:rFonts w:ascii="Arial" w:hAnsi="Arial" w:cs="Arial"/>
          <w:b/>
          <w:sz w:val="24"/>
          <w:szCs w:val="24"/>
        </w:rPr>
      </w:pPr>
      <w:r w:rsidRPr="009E77DD">
        <w:rPr>
          <w:rFonts w:ascii="Arial" w:hAnsi="Arial" w:cs="Arial"/>
          <w:b/>
          <w:sz w:val="24"/>
          <w:szCs w:val="24"/>
        </w:rPr>
        <w:t>Proposed normative content:</w:t>
      </w:r>
    </w:p>
    <w:p w:rsidR="004A19DC" w:rsidRPr="009E77DD" w:rsidRDefault="0024282A" w:rsidP="004A19DC">
      <w:pPr>
        <w:rPr>
          <w:rFonts w:ascii="Arial" w:hAnsi="Arial" w:cs="Arial"/>
          <w:sz w:val="24"/>
          <w:szCs w:val="24"/>
        </w:rPr>
      </w:pPr>
      <w:proofErr w:type="gramStart"/>
      <w:r w:rsidRPr="009E77DD">
        <w:rPr>
          <w:rFonts w:ascii="Arial" w:hAnsi="Arial" w:cs="Arial"/>
          <w:sz w:val="24"/>
          <w:szCs w:val="24"/>
        </w:rPr>
        <w:t xml:space="preserve">Building on the growing body of evidence and analysis </w:t>
      </w:r>
      <w:r w:rsidR="00AD020A" w:rsidRPr="009E77DD">
        <w:rPr>
          <w:rFonts w:ascii="Arial" w:hAnsi="Arial" w:cs="Arial"/>
          <w:sz w:val="24"/>
          <w:szCs w:val="24"/>
        </w:rPr>
        <w:t>referred to</w:t>
      </w:r>
      <w:r w:rsidRPr="009E77DD">
        <w:rPr>
          <w:rFonts w:ascii="Arial" w:hAnsi="Arial" w:cs="Arial"/>
          <w:sz w:val="24"/>
          <w:szCs w:val="24"/>
        </w:rPr>
        <w:t xml:space="preserve"> above,</w:t>
      </w:r>
      <w:proofErr w:type="gramEnd"/>
      <w:r w:rsidR="00144B4C" w:rsidRPr="009E77DD">
        <w:rPr>
          <w:rFonts w:ascii="Arial" w:hAnsi="Arial" w:cs="Arial"/>
          <w:sz w:val="24"/>
          <w:szCs w:val="24"/>
        </w:rPr>
        <w:t xml:space="preserve"> </w:t>
      </w:r>
      <w:proofErr w:type="gramStart"/>
      <w:r w:rsidR="00144B4C" w:rsidRPr="009E77DD">
        <w:rPr>
          <w:rFonts w:ascii="Arial" w:hAnsi="Arial" w:cs="Arial"/>
          <w:sz w:val="24"/>
          <w:szCs w:val="24"/>
        </w:rPr>
        <w:t>i</w:t>
      </w:r>
      <w:r w:rsidR="004A19DC" w:rsidRPr="009E77DD">
        <w:rPr>
          <w:rFonts w:ascii="Arial" w:hAnsi="Arial" w:cs="Arial"/>
          <w:sz w:val="24"/>
          <w:szCs w:val="24"/>
        </w:rPr>
        <w:t>t</w:t>
      </w:r>
      <w:proofErr w:type="gramEnd"/>
      <w:r w:rsidR="004A19DC" w:rsidRPr="009E77DD">
        <w:rPr>
          <w:rFonts w:ascii="Arial" w:hAnsi="Arial" w:cs="Arial"/>
          <w:sz w:val="24"/>
          <w:szCs w:val="24"/>
        </w:rPr>
        <w:t xml:space="preserve"> is important to affirm the right of older people to palliative and long-term care, and consider including the following normative elements: </w:t>
      </w:r>
    </w:p>
    <w:p w:rsidR="002207FA" w:rsidRPr="009E77DD" w:rsidRDefault="002207FA" w:rsidP="00ED7A82">
      <w:pPr>
        <w:pStyle w:val="ListParagraph"/>
        <w:numPr>
          <w:ilvl w:val="0"/>
          <w:numId w:val="2"/>
        </w:numPr>
        <w:rPr>
          <w:rFonts w:ascii="Arial" w:hAnsi="Arial" w:cs="Arial"/>
          <w:b/>
          <w:sz w:val="24"/>
          <w:szCs w:val="24"/>
        </w:rPr>
      </w:pPr>
      <w:r w:rsidRPr="009E77DD">
        <w:rPr>
          <w:rFonts w:ascii="Arial" w:hAnsi="Arial" w:cs="Arial"/>
          <w:b/>
          <w:sz w:val="24"/>
          <w:szCs w:val="24"/>
        </w:rPr>
        <w:lastRenderedPageBreak/>
        <w:t xml:space="preserve">The right to the highest attainable standard of palliative care, </w:t>
      </w:r>
      <w:r w:rsidR="00F6742B" w:rsidRPr="009E77DD">
        <w:rPr>
          <w:rFonts w:ascii="Arial" w:hAnsi="Arial" w:cs="Arial"/>
          <w:sz w:val="24"/>
          <w:szCs w:val="24"/>
        </w:rPr>
        <w:t xml:space="preserve">which should </w:t>
      </w:r>
      <w:r w:rsidRPr="009E77DD">
        <w:rPr>
          <w:rFonts w:ascii="Arial" w:hAnsi="Arial" w:cs="Arial"/>
          <w:sz w:val="24"/>
          <w:szCs w:val="24"/>
        </w:rPr>
        <w:t>be holistic,</w:t>
      </w:r>
      <w:r w:rsidR="0024282A" w:rsidRPr="009E77DD">
        <w:rPr>
          <w:rFonts w:ascii="Arial" w:hAnsi="Arial" w:cs="Arial"/>
          <w:sz w:val="24"/>
          <w:szCs w:val="24"/>
        </w:rPr>
        <w:t xml:space="preserve"> encompassing all emotional</w:t>
      </w:r>
      <w:r w:rsidR="002863E6" w:rsidRPr="009E77DD">
        <w:rPr>
          <w:rFonts w:ascii="Arial" w:hAnsi="Arial" w:cs="Arial"/>
          <w:sz w:val="24"/>
          <w:szCs w:val="24"/>
        </w:rPr>
        <w:t>, social, psychological</w:t>
      </w:r>
      <w:r w:rsidR="0024282A" w:rsidRPr="009E77DD">
        <w:rPr>
          <w:rFonts w:ascii="Arial" w:hAnsi="Arial" w:cs="Arial"/>
          <w:sz w:val="24"/>
          <w:szCs w:val="24"/>
        </w:rPr>
        <w:t xml:space="preserve"> and physical needs</w:t>
      </w:r>
      <w:r w:rsidR="003624BB" w:rsidRPr="009E77DD">
        <w:rPr>
          <w:rFonts w:ascii="Arial" w:hAnsi="Arial" w:cs="Arial"/>
          <w:sz w:val="24"/>
          <w:szCs w:val="24"/>
        </w:rPr>
        <w:t>, including but not limited to</w:t>
      </w:r>
      <w:r w:rsidRPr="009E77DD">
        <w:rPr>
          <w:rFonts w:ascii="Arial" w:hAnsi="Arial" w:cs="Arial"/>
          <w:sz w:val="24"/>
          <w:szCs w:val="24"/>
        </w:rPr>
        <w:t xml:space="preserve"> pain-relief</w:t>
      </w:r>
      <w:r w:rsidR="0024282A" w:rsidRPr="009E77DD">
        <w:rPr>
          <w:rFonts w:ascii="Arial" w:hAnsi="Arial" w:cs="Arial"/>
          <w:sz w:val="24"/>
          <w:szCs w:val="24"/>
        </w:rPr>
        <w:t>.</w:t>
      </w:r>
    </w:p>
    <w:p w:rsidR="00DA617F" w:rsidRPr="009E77DD" w:rsidRDefault="00DA617F" w:rsidP="00DA617F">
      <w:pPr>
        <w:pStyle w:val="ListParagraph"/>
        <w:numPr>
          <w:ilvl w:val="0"/>
          <w:numId w:val="2"/>
        </w:numPr>
        <w:rPr>
          <w:rFonts w:ascii="Arial" w:hAnsi="Arial" w:cs="Arial"/>
          <w:b/>
          <w:sz w:val="24"/>
          <w:szCs w:val="24"/>
        </w:rPr>
      </w:pPr>
      <w:r w:rsidRPr="009E77DD">
        <w:rPr>
          <w:rFonts w:ascii="Arial" w:hAnsi="Arial" w:cs="Arial"/>
          <w:b/>
          <w:sz w:val="24"/>
          <w:szCs w:val="24"/>
        </w:rPr>
        <w:t>The right to access adequate pain relief</w:t>
      </w:r>
      <w:r w:rsidR="00DF1294" w:rsidRPr="009E77DD">
        <w:rPr>
          <w:rFonts w:ascii="Arial" w:hAnsi="Arial" w:cs="Arial"/>
          <w:b/>
          <w:sz w:val="24"/>
          <w:szCs w:val="24"/>
        </w:rPr>
        <w:t>,</w:t>
      </w:r>
      <w:r w:rsidRPr="009E77DD">
        <w:rPr>
          <w:rFonts w:ascii="Arial" w:hAnsi="Arial" w:cs="Arial"/>
          <w:b/>
          <w:sz w:val="24"/>
          <w:szCs w:val="24"/>
        </w:rPr>
        <w:t xml:space="preserve"> and to be free from torture, inhuman or degrading treatment </w:t>
      </w:r>
      <w:r w:rsidR="007D4141" w:rsidRPr="009E77DD">
        <w:rPr>
          <w:rFonts w:ascii="Arial" w:hAnsi="Arial" w:cs="Arial"/>
          <w:sz w:val="24"/>
          <w:szCs w:val="24"/>
        </w:rPr>
        <w:t xml:space="preserve">resulting from lack of access to, or inadequate, </w:t>
      </w:r>
      <w:r w:rsidRPr="009E77DD">
        <w:rPr>
          <w:rFonts w:ascii="Arial" w:hAnsi="Arial" w:cs="Arial"/>
          <w:sz w:val="24"/>
          <w:szCs w:val="24"/>
        </w:rPr>
        <w:t>pain relief.</w:t>
      </w:r>
    </w:p>
    <w:p w:rsidR="002207FA" w:rsidRPr="009E77DD" w:rsidRDefault="002207FA" w:rsidP="00DA617F">
      <w:pPr>
        <w:pStyle w:val="ListParagraph"/>
        <w:numPr>
          <w:ilvl w:val="0"/>
          <w:numId w:val="2"/>
        </w:numPr>
        <w:rPr>
          <w:rFonts w:ascii="Arial" w:hAnsi="Arial" w:cs="Arial"/>
          <w:b/>
          <w:sz w:val="24"/>
          <w:szCs w:val="24"/>
        </w:rPr>
      </w:pPr>
      <w:r w:rsidRPr="009E77DD">
        <w:rPr>
          <w:rFonts w:ascii="Arial" w:hAnsi="Arial" w:cs="Arial"/>
          <w:b/>
          <w:sz w:val="24"/>
          <w:szCs w:val="24"/>
        </w:rPr>
        <w:t xml:space="preserve">The right to the highest attainable standard of long-term care, </w:t>
      </w:r>
      <w:r w:rsidRPr="009E77DD">
        <w:rPr>
          <w:rFonts w:ascii="Arial" w:hAnsi="Arial" w:cs="Arial"/>
          <w:sz w:val="24"/>
          <w:szCs w:val="24"/>
        </w:rPr>
        <w:t>including holistic support to</w:t>
      </w:r>
      <w:r w:rsidR="00C31126" w:rsidRPr="009E77DD">
        <w:rPr>
          <w:rFonts w:ascii="Arial" w:hAnsi="Arial" w:cs="Arial"/>
          <w:sz w:val="24"/>
          <w:szCs w:val="24"/>
        </w:rPr>
        <w:t xml:space="preserve"> promote independent living,</w:t>
      </w:r>
      <w:r w:rsidR="00252C52" w:rsidRPr="009E77DD">
        <w:rPr>
          <w:rFonts w:ascii="Arial" w:hAnsi="Arial" w:cs="Arial"/>
          <w:sz w:val="24"/>
          <w:szCs w:val="24"/>
        </w:rPr>
        <w:t xml:space="preserve"> </w:t>
      </w:r>
      <w:r w:rsidR="00E07E75" w:rsidRPr="009E77DD">
        <w:rPr>
          <w:rFonts w:ascii="Arial" w:hAnsi="Arial" w:cs="Arial"/>
          <w:sz w:val="24"/>
          <w:szCs w:val="24"/>
        </w:rPr>
        <w:t>inclusion in</w:t>
      </w:r>
      <w:r w:rsidRPr="009E77DD">
        <w:rPr>
          <w:rFonts w:ascii="Arial" w:hAnsi="Arial" w:cs="Arial"/>
          <w:sz w:val="24"/>
          <w:szCs w:val="24"/>
        </w:rPr>
        <w:t xml:space="preserve"> the community</w:t>
      </w:r>
      <w:r w:rsidR="006105C5" w:rsidRPr="009E77DD">
        <w:rPr>
          <w:rFonts w:ascii="Arial" w:hAnsi="Arial" w:cs="Arial"/>
          <w:sz w:val="24"/>
          <w:szCs w:val="24"/>
        </w:rPr>
        <w:t xml:space="preserve">, and access to </w:t>
      </w:r>
      <w:proofErr w:type="spellStart"/>
      <w:r w:rsidR="006105C5" w:rsidRPr="009E77DD">
        <w:rPr>
          <w:rFonts w:ascii="Arial" w:hAnsi="Arial" w:cs="Arial"/>
          <w:sz w:val="24"/>
          <w:szCs w:val="24"/>
        </w:rPr>
        <w:t>habilitation</w:t>
      </w:r>
      <w:proofErr w:type="spellEnd"/>
      <w:r w:rsidR="006105C5" w:rsidRPr="009E77DD">
        <w:rPr>
          <w:rFonts w:ascii="Arial" w:hAnsi="Arial" w:cs="Arial"/>
          <w:sz w:val="24"/>
          <w:szCs w:val="24"/>
        </w:rPr>
        <w:t xml:space="preserve"> and rehabilitation</w:t>
      </w:r>
      <w:r w:rsidRPr="009E77DD">
        <w:rPr>
          <w:rFonts w:ascii="Arial" w:hAnsi="Arial" w:cs="Arial"/>
          <w:sz w:val="24"/>
          <w:szCs w:val="24"/>
        </w:rPr>
        <w:t>.</w:t>
      </w:r>
    </w:p>
    <w:p w:rsidR="002207FA" w:rsidRPr="009E77DD" w:rsidRDefault="002207FA" w:rsidP="00ED7A82">
      <w:pPr>
        <w:pStyle w:val="ListParagraph"/>
        <w:numPr>
          <w:ilvl w:val="0"/>
          <w:numId w:val="2"/>
        </w:numPr>
        <w:rPr>
          <w:rFonts w:ascii="Arial" w:hAnsi="Arial" w:cs="Arial"/>
          <w:b/>
          <w:sz w:val="24"/>
          <w:szCs w:val="24"/>
        </w:rPr>
      </w:pPr>
      <w:r w:rsidRPr="009E77DD">
        <w:rPr>
          <w:rFonts w:ascii="Arial" w:hAnsi="Arial" w:cs="Arial"/>
          <w:b/>
          <w:sz w:val="24"/>
          <w:szCs w:val="24"/>
        </w:rPr>
        <w:t xml:space="preserve">The right to participate in long-term and palliative care planning, </w:t>
      </w:r>
      <w:r w:rsidRPr="009E77DD">
        <w:rPr>
          <w:rFonts w:ascii="Arial" w:hAnsi="Arial" w:cs="Arial"/>
          <w:sz w:val="24"/>
          <w:szCs w:val="24"/>
        </w:rPr>
        <w:t xml:space="preserve">including the right to receive information and support </w:t>
      </w:r>
      <w:r w:rsidR="00252C52" w:rsidRPr="009E77DD">
        <w:rPr>
          <w:rFonts w:ascii="Arial" w:hAnsi="Arial" w:cs="Arial"/>
          <w:sz w:val="24"/>
          <w:szCs w:val="24"/>
        </w:rPr>
        <w:t>for</w:t>
      </w:r>
      <w:r w:rsidRPr="009E77DD">
        <w:rPr>
          <w:rFonts w:ascii="Arial" w:hAnsi="Arial" w:cs="Arial"/>
          <w:sz w:val="24"/>
          <w:szCs w:val="24"/>
        </w:rPr>
        <w:t xml:space="preserve"> meaningful involvement</w:t>
      </w:r>
      <w:r w:rsidR="00252C52" w:rsidRPr="009E77DD">
        <w:rPr>
          <w:rFonts w:ascii="Arial" w:hAnsi="Arial" w:cs="Arial"/>
          <w:sz w:val="24"/>
          <w:szCs w:val="24"/>
        </w:rPr>
        <w:t>.</w:t>
      </w:r>
    </w:p>
    <w:p w:rsidR="00737C90" w:rsidRPr="009E77DD" w:rsidRDefault="00737C90" w:rsidP="00737C90">
      <w:pPr>
        <w:pStyle w:val="ListParagraph"/>
        <w:numPr>
          <w:ilvl w:val="0"/>
          <w:numId w:val="2"/>
        </w:numPr>
        <w:rPr>
          <w:rFonts w:ascii="Arial" w:hAnsi="Arial" w:cs="Arial"/>
          <w:sz w:val="24"/>
          <w:szCs w:val="24"/>
        </w:rPr>
      </w:pPr>
      <w:r w:rsidRPr="009E77DD">
        <w:rPr>
          <w:rFonts w:ascii="Arial" w:hAnsi="Arial" w:cs="Arial"/>
          <w:b/>
          <w:sz w:val="24"/>
          <w:szCs w:val="24"/>
        </w:rPr>
        <w:t>The right to persona</w:t>
      </w:r>
      <w:r w:rsidR="006051A5" w:rsidRPr="009E77DD">
        <w:rPr>
          <w:rFonts w:ascii="Arial" w:hAnsi="Arial" w:cs="Arial"/>
          <w:b/>
          <w:sz w:val="24"/>
          <w:szCs w:val="24"/>
        </w:rPr>
        <w:t>l integrity and to freedom from torture, inhuman or degrading treatment</w:t>
      </w:r>
      <w:r w:rsidR="00722649" w:rsidRPr="009E77DD">
        <w:rPr>
          <w:rFonts w:ascii="Arial" w:hAnsi="Arial" w:cs="Arial"/>
          <w:b/>
          <w:sz w:val="24"/>
          <w:szCs w:val="24"/>
        </w:rPr>
        <w:t xml:space="preserve"> in all care settings</w:t>
      </w:r>
      <w:r w:rsidR="00836CE2" w:rsidRPr="009E77DD">
        <w:rPr>
          <w:rFonts w:ascii="Arial" w:hAnsi="Arial" w:cs="Arial"/>
          <w:b/>
          <w:sz w:val="24"/>
          <w:szCs w:val="24"/>
        </w:rPr>
        <w:t xml:space="preserve">, </w:t>
      </w:r>
      <w:r w:rsidR="00722649" w:rsidRPr="009E77DD">
        <w:rPr>
          <w:rFonts w:ascii="Arial" w:hAnsi="Arial" w:cs="Arial"/>
          <w:sz w:val="24"/>
          <w:szCs w:val="24"/>
        </w:rPr>
        <w:t>including</w:t>
      </w:r>
      <w:r w:rsidR="006051A5" w:rsidRPr="009E77DD">
        <w:rPr>
          <w:rFonts w:ascii="Arial" w:hAnsi="Arial" w:cs="Arial"/>
          <w:sz w:val="24"/>
          <w:szCs w:val="24"/>
        </w:rPr>
        <w:t xml:space="preserve"> </w:t>
      </w:r>
      <w:r w:rsidR="00DF74E7" w:rsidRPr="009E77DD">
        <w:rPr>
          <w:rFonts w:ascii="Arial" w:hAnsi="Arial" w:cs="Arial"/>
          <w:sz w:val="24"/>
          <w:szCs w:val="24"/>
        </w:rPr>
        <w:t xml:space="preserve">the right to be </w:t>
      </w:r>
      <w:r w:rsidRPr="009E77DD">
        <w:rPr>
          <w:rFonts w:ascii="Arial" w:hAnsi="Arial" w:cs="Arial"/>
          <w:sz w:val="24"/>
          <w:szCs w:val="24"/>
        </w:rPr>
        <w:t>treated with respect and dignity</w:t>
      </w:r>
      <w:r w:rsidR="00722649" w:rsidRPr="009E77DD">
        <w:rPr>
          <w:rFonts w:ascii="Arial" w:hAnsi="Arial" w:cs="Arial"/>
          <w:sz w:val="24"/>
          <w:szCs w:val="24"/>
        </w:rPr>
        <w:t xml:space="preserve">, and freedom from all forms of </w:t>
      </w:r>
      <w:r w:rsidR="0089258E" w:rsidRPr="009E77DD">
        <w:rPr>
          <w:rFonts w:ascii="Arial" w:hAnsi="Arial" w:cs="Arial"/>
          <w:sz w:val="24"/>
          <w:szCs w:val="24"/>
        </w:rPr>
        <w:t>restraint and</w:t>
      </w:r>
      <w:r w:rsidR="006051A5" w:rsidRPr="009E77DD">
        <w:rPr>
          <w:rFonts w:ascii="Arial" w:hAnsi="Arial" w:cs="Arial"/>
          <w:sz w:val="24"/>
          <w:szCs w:val="24"/>
        </w:rPr>
        <w:t xml:space="preserve"> seclusion</w:t>
      </w:r>
      <w:r w:rsidR="00722649" w:rsidRPr="009E77DD">
        <w:rPr>
          <w:rFonts w:ascii="Arial" w:hAnsi="Arial" w:cs="Arial"/>
          <w:sz w:val="24"/>
          <w:szCs w:val="24"/>
        </w:rPr>
        <w:t>.</w:t>
      </w:r>
    </w:p>
    <w:p w:rsidR="005811FB" w:rsidRDefault="005811FB" w:rsidP="006A6982">
      <w:pPr>
        <w:rPr>
          <w:rFonts w:ascii="Arial" w:hAnsi="Arial" w:cs="Arial"/>
          <w:sz w:val="24"/>
          <w:szCs w:val="24"/>
        </w:rPr>
      </w:pPr>
      <w:r w:rsidRPr="009E77DD">
        <w:rPr>
          <w:rFonts w:ascii="Arial" w:hAnsi="Arial" w:cs="Arial"/>
          <w:sz w:val="24"/>
          <w:szCs w:val="24"/>
        </w:rPr>
        <w:t xml:space="preserve">Corresponding </w:t>
      </w:r>
      <w:r w:rsidR="00264FBC" w:rsidRPr="009E77DD">
        <w:rPr>
          <w:rFonts w:ascii="Arial" w:hAnsi="Arial" w:cs="Arial"/>
          <w:sz w:val="24"/>
          <w:szCs w:val="24"/>
        </w:rPr>
        <w:t>State Party obligations c</w:t>
      </w:r>
      <w:r w:rsidRPr="009E77DD">
        <w:rPr>
          <w:rFonts w:ascii="Arial" w:hAnsi="Arial" w:cs="Arial"/>
          <w:sz w:val="24"/>
          <w:szCs w:val="24"/>
        </w:rPr>
        <w:t xml:space="preserve">ould include undertaking all appropriate legislative, administrative, policy, programmatic and other measures to respect, protect and fulfil the </w:t>
      </w:r>
      <w:r w:rsidR="0024166B" w:rsidRPr="009E77DD">
        <w:rPr>
          <w:rFonts w:ascii="Arial" w:hAnsi="Arial" w:cs="Arial"/>
          <w:sz w:val="24"/>
          <w:szCs w:val="24"/>
        </w:rPr>
        <w:t>normative elements of the right</w:t>
      </w:r>
      <w:r w:rsidRPr="009E77DD">
        <w:rPr>
          <w:rFonts w:ascii="Arial" w:hAnsi="Arial" w:cs="Arial"/>
          <w:sz w:val="24"/>
          <w:szCs w:val="24"/>
        </w:rPr>
        <w:t xml:space="preserve"> to palliative and long-term care. Some </w:t>
      </w:r>
      <w:r w:rsidR="001643E3" w:rsidRPr="009E77DD">
        <w:rPr>
          <w:rFonts w:ascii="Arial" w:hAnsi="Arial" w:cs="Arial"/>
          <w:sz w:val="24"/>
          <w:szCs w:val="24"/>
        </w:rPr>
        <w:t xml:space="preserve">normative elements will entail immediate obligations, whereas others may be subject to obligations of progressive realisation </w:t>
      </w:r>
      <w:r w:rsidR="00910719" w:rsidRPr="009E77DD">
        <w:rPr>
          <w:rFonts w:ascii="Arial" w:hAnsi="Arial" w:cs="Arial"/>
          <w:sz w:val="24"/>
          <w:szCs w:val="24"/>
        </w:rPr>
        <w:t>according to the maximum available resources</w:t>
      </w:r>
      <w:r w:rsidR="006B00E3" w:rsidRPr="009E77DD">
        <w:rPr>
          <w:rFonts w:ascii="Arial" w:hAnsi="Arial" w:cs="Arial"/>
          <w:sz w:val="24"/>
          <w:szCs w:val="24"/>
        </w:rPr>
        <w:t>,</w:t>
      </w:r>
      <w:r w:rsidR="00252C52" w:rsidRPr="009E77DD">
        <w:rPr>
          <w:rFonts w:ascii="Arial" w:hAnsi="Arial" w:cs="Arial"/>
          <w:sz w:val="24"/>
          <w:szCs w:val="24"/>
        </w:rPr>
        <w:t xml:space="preserve"> </w:t>
      </w:r>
      <w:r w:rsidR="006B00E3" w:rsidRPr="009E77DD">
        <w:rPr>
          <w:rFonts w:ascii="Arial" w:hAnsi="Arial" w:cs="Arial"/>
          <w:sz w:val="24"/>
          <w:szCs w:val="24"/>
        </w:rPr>
        <w:t>following established international human rights</w:t>
      </w:r>
      <w:r w:rsidR="00DF24F6" w:rsidRPr="009E77DD">
        <w:rPr>
          <w:rFonts w:ascii="Arial" w:hAnsi="Arial" w:cs="Arial"/>
          <w:sz w:val="24"/>
          <w:szCs w:val="24"/>
        </w:rPr>
        <w:t xml:space="preserve"> principles and</w:t>
      </w:r>
      <w:r w:rsidR="006B00E3" w:rsidRPr="009E77DD">
        <w:rPr>
          <w:rFonts w:ascii="Arial" w:hAnsi="Arial" w:cs="Arial"/>
          <w:sz w:val="24"/>
          <w:szCs w:val="24"/>
        </w:rPr>
        <w:t xml:space="preserve"> jurisprudence.</w:t>
      </w: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Default="00BE1AE7" w:rsidP="006A6982">
      <w:pPr>
        <w:rPr>
          <w:rFonts w:ascii="Arial" w:hAnsi="Arial" w:cs="Arial"/>
          <w:sz w:val="24"/>
          <w:szCs w:val="24"/>
        </w:rPr>
      </w:pPr>
    </w:p>
    <w:p w:rsidR="00BE1AE7" w:rsidRPr="009E77DD" w:rsidRDefault="00BE1AE7" w:rsidP="006A6982">
      <w:pPr>
        <w:rPr>
          <w:rFonts w:ascii="Arial" w:hAnsi="Arial" w:cs="Arial"/>
          <w:sz w:val="24"/>
          <w:szCs w:val="24"/>
        </w:rPr>
      </w:pPr>
    </w:p>
    <w:p w:rsidR="00411659" w:rsidRPr="009E77DD" w:rsidRDefault="00411659" w:rsidP="006A6982">
      <w:pPr>
        <w:rPr>
          <w:rFonts w:ascii="Arial" w:hAnsi="Arial" w:cs="Arial"/>
          <w:b/>
          <w:sz w:val="24"/>
          <w:szCs w:val="24"/>
        </w:rPr>
      </w:pPr>
      <w:r w:rsidRPr="009E77DD">
        <w:rPr>
          <w:rFonts w:ascii="Arial" w:hAnsi="Arial" w:cs="Arial"/>
          <w:b/>
          <w:sz w:val="24"/>
          <w:szCs w:val="24"/>
        </w:rPr>
        <w:lastRenderedPageBreak/>
        <w:t>Endnotes:</w:t>
      </w:r>
    </w:p>
    <w:sectPr w:rsidR="00411659" w:rsidRPr="009E77DD">
      <w:headerReference w:type="default" r:id="rId9"/>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42" w:rsidRDefault="00401142" w:rsidP="00731019">
      <w:pPr>
        <w:spacing w:after="0" w:line="240" w:lineRule="auto"/>
      </w:pPr>
      <w:r>
        <w:separator/>
      </w:r>
    </w:p>
  </w:endnote>
  <w:endnote w:type="continuationSeparator" w:id="0">
    <w:p w:rsidR="00401142" w:rsidRDefault="00401142" w:rsidP="00731019">
      <w:pPr>
        <w:spacing w:after="0" w:line="240" w:lineRule="auto"/>
      </w:pPr>
      <w:r>
        <w:continuationSeparator/>
      </w:r>
    </w:p>
  </w:endnote>
  <w:endnote w:id="1">
    <w:p w:rsidR="001D527A" w:rsidRPr="003F54E6" w:rsidRDefault="001D527A" w:rsidP="005E6220">
      <w:pPr>
        <w:pStyle w:val="Default"/>
        <w:adjustRightInd w:val="0"/>
        <w:rPr>
          <w:b/>
          <w:sz w:val="22"/>
          <w:szCs w:val="20"/>
        </w:rPr>
      </w:pPr>
      <w:r w:rsidRPr="003F54E6">
        <w:rPr>
          <w:rStyle w:val="EndnoteReference"/>
          <w:sz w:val="22"/>
          <w:szCs w:val="20"/>
        </w:rPr>
        <w:endnoteRef/>
      </w:r>
      <w:r w:rsidRPr="003F54E6">
        <w:rPr>
          <w:sz w:val="22"/>
          <w:szCs w:val="20"/>
        </w:rPr>
        <w:t xml:space="preserve"> The Equality and Human Rights Commission (the Commission) is a statutory body established under the Equality Act 2006. It operates independently to encourage equality and diversity, eliminate unlawful discrimination, and protect and promote human rights. The Commission enforces equality legislation on age, disability, gender reassignment, marriage and civil partnership, pregnancy and maternity, race, religion or belief, sex and sexual orientation. It encourages compliance with the Human Rights Act 1998 and is accredited at UN level as an ‘A status’ National Human Rights Institution, in recognition of its independence, powers and performance.</w:t>
      </w:r>
      <w:r w:rsidR="001D3E19" w:rsidRPr="003F54E6">
        <w:rPr>
          <w:sz w:val="22"/>
          <w:szCs w:val="20"/>
        </w:rPr>
        <w:t xml:space="preserve"> See: </w:t>
      </w:r>
      <w:hyperlink r:id="rId1" w:history="1">
        <w:r w:rsidR="001D3E19" w:rsidRPr="003F54E6">
          <w:rPr>
            <w:rStyle w:val="Hyperlink"/>
            <w:sz w:val="22"/>
            <w:szCs w:val="20"/>
          </w:rPr>
          <w:t>https://www.equalityhumanrights.com/en</w:t>
        </w:r>
      </w:hyperlink>
      <w:r w:rsidR="001D3E19" w:rsidRPr="003F54E6">
        <w:rPr>
          <w:sz w:val="22"/>
          <w:szCs w:val="20"/>
        </w:rPr>
        <w:t xml:space="preserve"> </w:t>
      </w:r>
    </w:p>
  </w:endnote>
  <w:endnote w:id="2">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Vienna Declaration and Programme of Action (1993), available at: </w:t>
      </w:r>
      <w:hyperlink r:id="rId2" w:history="1">
        <w:r w:rsidRPr="003F54E6">
          <w:rPr>
            <w:rStyle w:val="Hyperlink"/>
            <w:rFonts w:ascii="Arial" w:hAnsi="Arial" w:cs="Arial"/>
            <w:sz w:val="22"/>
          </w:rPr>
          <w:t>https://www.ohchr.org/en/professionalinterest/pages/vienna.aspx</w:t>
        </w:r>
      </w:hyperlink>
      <w:r w:rsidRPr="003F54E6">
        <w:rPr>
          <w:rFonts w:ascii="Arial" w:hAnsi="Arial" w:cs="Arial"/>
          <w:sz w:val="22"/>
        </w:rPr>
        <w:t xml:space="preserve"> </w:t>
      </w:r>
      <w:r w:rsidR="004B48FE" w:rsidRPr="003F54E6">
        <w:rPr>
          <w:rFonts w:ascii="Arial" w:hAnsi="Arial" w:cs="Arial"/>
          <w:sz w:val="22"/>
        </w:rPr>
        <w:t>[accessed: 18 January 2019]</w:t>
      </w:r>
    </w:p>
  </w:endnote>
  <w:endnote w:id="3">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For example, achieving the right to autonomy and independence for older people depends on the realisation of a range of other rights, including rights to health, work, an adequate standard of living, education and participation.</w:t>
      </w:r>
    </w:p>
  </w:endnote>
  <w:endnote w:id="4">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OHCHR (2012), ‘Normative standards in international human rights law in relation to older persons – analytical outcome paper’, available at: </w:t>
      </w:r>
      <w:hyperlink r:id="rId3" w:history="1">
        <w:r w:rsidRPr="003F54E6">
          <w:rPr>
            <w:rStyle w:val="Hyperlink"/>
            <w:rFonts w:ascii="Arial" w:hAnsi="Arial" w:cs="Arial"/>
            <w:sz w:val="22"/>
          </w:rPr>
          <w:t>https://social.un.org/ageing-working-group/documents/OHCHRAnalyticalOutcomePaperonOldePersonsAugust2012.doc</w:t>
        </w:r>
      </w:hyperlink>
      <w:r w:rsidRPr="003F54E6">
        <w:rPr>
          <w:rFonts w:ascii="Arial" w:hAnsi="Arial" w:cs="Arial"/>
          <w:sz w:val="22"/>
        </w:rPr>
        <w:t xml:space="preserve"> </w:t>
      </w:r>
      <w:r w:rsidR="004B48FE" w:rsidRPr="003F54E6">
        <w:rPr>
          <w:rFonts w:ascii="Arial" w:hAnsi="Arial" w:cs="Arial"/>
          <w:sz w:val="22"/>
        </w:rPr>
        <w:t>[accessed: 18 January 2019].</w:t>
      </w:r>
    </w:p>
  </w:endnote>
  <w:endnote w:id="5">
    <w:p w:rsidR="001D527A" w:rsidRPr="003F54E6" w:rsidRDefault="001D527A" w:rsidP="00E07E75">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UNCRPD General Comment No. 1, para </w:t>
      </w:r>
      <w:proofErr w:type="gramStart"/>
      <w:r w:rsidRPr="003F54E6">
        <w:rPr>
          <w:rFonts w:ascii="Arial" w:hAnsi="Arial" w:cs="Arial"/>
          <w:sz w:val="22"/>
        </w:rPr>
        <w:t>3</w:t>
      </w:r>
      <w:proofErr w:type="gramEnd"/>
      <w:r w:rsidRPr="003F54E6">
        <w:rPr>
          <w:rFonts w:ascii="Arial" w:hAnsi="Arial" w:cs="Arial"/>
          <w:sz w:val="22"/>
        </w:rPr>
        <w:t xml:space="preserve">, available at: </w:t>
      </w:r>
      <w:hyperlink r:id="rId4" w:history="1">
        <w:r w:rsidRPr="003F54E6">
          <w:rPr>
            <w:rStyle w:val="Hyperlink"/>
            <w:rFonts w:ascii="Arial" w:hAnsi="Arial" w:cs="Arial"/>
            <w:sz w:val="22"/>
          </w:rPr>
          <w:t>http://tbinternet.ohchr.org/_layouts/treatybodyexternal/Download.aspx?symbolno=CRPD/C/GC/1&amp;Lang=en</w:t>
        </w:r>
      </w:hyperlink>
      <w:r w:rsidRPr="003F54E6">
        <w:rPr>
          <w:rFonts w:ascii="Arial" w:hAnsi="Arial" w:cs="Arial"/>
          <w:sz w:val="22"/>
        </w:rPr>
        <w:t xml:space="preserve"> </w:t>
      </w:r>
      <w:r w:rsidR="006D080C" w:rsidRPr="003F54E6">
        <w:rPr>
          <w:rFonts w:ascii="Arial" w:hAnsi="Arial" w:cs="Arial"/>
          <w:sz w:val="22"/>
        </w:rPr>
        <w:t>[accessed: 16 January 2019].</w:t>
      </w:r>
    </w:p>
  </w:endnote>
  <w:endnote w:id="6">
    <w:p w:rsidR="001D527A" w:rsidRPr="003F54E6" w:rsidRDefault="001D527A" w:rsidP="00E07E75">
      <w:pPr>
        <w:spacing w:after="0" w:line="240" w:lineRule="auto"/>
        <w:rPr>
          <w:rFonts w:ascii="Arial" w:hAnsi="Arial" w:cs="Arial"/>
          <w:szCs w:val="20"/>
        </w:rPr>
      </w:pPr>
      <w:r w:rsidRPr="003F54E6">
        <w:rPr>
          <w:rStyle w:val="EndnoteReference"/>
          <w:rFonts w:ascii="Arial" w:hAnsi="Arial" w:cs="Arial"/>
          <w:szCs w:val="20"/>
        </w:rPr>
        <w:endnoteRef/>
      </w:r>
      <w:r w:rsidRPr="003F54E6">
        <w:rPr>
          <w:rFonts w:ascii="Arial" w:hAnsi="Arial" w:cs="Arial"/>
          <w:szCs w:val="20"/>
        </w:rPr>
        <w:t xml:space="preserve"> Equality and Human Rights Commission (2011), ‘Close to Home: An inquiry into older people and human rights in home care’, available at: </w:t>
      </w:r>
      <w:hyperlink r:id="rId5" w:history="1">
        <w:r w:rsidRPr="003F54E6">
          <w:rPr>
            <w:rStyle w:val="Hyperlink"/>
            <w:rFonts w:ascii="Arial" w:hAnsi="Arial" w:cs="Arial"/>
            <w:szCs w:val="20"/>
          </w:rPr>
          <w:t>https://www.equalityhumanrights.com/en/inquiries-and-investigations/inquiry-home-care-older-people/download-home-care-report</w:t>
        </w:r>
      </w:hyperlink>
      <w:r w:rsidR="00BD6509" w:rsidRPr="003F54E6">
        <w:rPr>
          <w:rStyle w:val="Hyperlink"/>
          <w:rFonts w:ascii="Arial" w:hAnsi="Arial" w:cs="Arial"/>
          <w:szCs w:val="20"/>
          <w:u w:val="none"/>
        </w:rPr>
        <w:t xml:space="preserve"> </w:t>
      </w:r>
      <w:r w:rsidR="00BD6509" w:rsidRPr="003F54E6">
        <w:rPr>
          <w:rFonts w:ascii="Arial" w:hAnsi="Arial" w:cs="Arial"/>
          <w:szCs w:val="20"/>
        </w:rPr>
        <w:t>[accessed: 30 January 2019].</w:t>
      </w:r>
    </w:p>
  </w:endnote>
  <w:endnote w:id="7">
    <w:p w:rsidR="00CD14E1" w:rsidRPr="003F54E6" w:rsidRDefault="00CD14E1">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See UNCRPD Articles 4(3) and 33(3) in particular, along with UNCRPD General Comment No. 7, available at: </w:t>
      </w:r>
      <w:hyperlink r:id="rId6" w:history="1">
        <w:r w:rsidRPr="003F54E6">
          <w:rPr>
            <w:rStyle w:val="Hyperlink"/>
            <w:rFonts w:ascii="Arial" w:hAnsi="Arial" w:cs="Arial"/>
            <w:sz w:val="22"/>
          </w:rPr>
          <w:t>https://tbinternet.ohchr.org/_layouts/treatybodyexternal/Download.aspx?symbolno=CRPD/C/GC/7&amp;Lang=en</w:t>
        </w:r>
      </w:hyperlink>
      <w:r w:rsidRPr="003F54E6">
        <w:rPr>
          <w:rFonts w:ascii="Arial" w:hAnsi="Arial" w:cs="Arial"/>
          <w:sz w:val="22"/>
        </w:rPr>
        <w:t xml:space="preserve">  </w:t>
      </w:r>
    </w:p>
  </w:endnote>
  <w:endnote w:id="8">
    <w:p w:rsidR="001D527A" w:rsidRPr="003F54E6" w:rsidRDefault="001D527A" w:rsidP="00E07E75">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UNCRPD General Comment No. 5, paras 24-26, available at: </w:t>
      </w:r>
      <w:r w:rsidR="00CD14E1" w:rsidRPr="003F54E6">
        <w:rPr>
          <w:rFonts w:ascii="Arial" w:hAnsi="Arial" w:cs="Arial"/>
          <w:sz w:val="22"/>
        </w:rPr>
        <w:t xml:space="preserve">[accessed: 31 January 2019]. </w:t>
      </w:r>
      <w:hyperlink r:id="rId7" w:history="1">
        <w:r w:rsidRPr="003F54E6">
          <w:rPr>
            <w:rStyle w:val="Hyperlink"/>
            <w:rFonts w:ascii="Arial" w:hAnsi="Arial" w:cs="Arial"/>
            <w:sz w:val="22"/>
          </w:rPr>
          <w:t>https://tbinternet.ohchr.org/_layouts/treatybodyexternal/Download.aspx?symbolno=CRPD/C/GC/5&amp;Lang=en</w:t>
        </w:r>
      </w:hyperlink>
      <w:r w:rsidRPr="003F54E6">
        <w:rPr>
          <w:rFonts w:ascii="Arial" w:hAnsi="Arial" w:cs="Arial"/>
          <w:sz w:val="22"/>
        </w:rPr>
        <w:t xml:space="preserve"> </w:t>
      </w:r>
      <w:r w:rsidR="00062620" w:rsidRPr="003F54E6">
        <w:rPr>
          <w:rFonts w:ascii="Arial" w:hAnsi="Arial" w:cs="Arial"/>
          <w:sz w:val="22"/>
        </w:rPr>
        <w:t>[accessed: 29 January 2019].</w:t>
      </w:r>
      <w:r w:rsidR="00B5519C" w:rsidRPr="003F54E6">
        <w:rPr>
          <w:rFonts w:ascii="Arial" w:hAnsi="Arial" w:cs="Arial"/>
          <w:sz w:val="22"/>
        </w:rPr>
        <w:t xml:space="preserve"> Options include accessible housing and support within the community.</w:t>
      </w:r>
    </w:p>
  </w:endnote>
  <w:endnote w:id="9">
    <w:p w:rsidR="00A9082A" w:rsidRPr="003F54E6" w:rsidRDefault="00A9082A" w:rsidP="00A9082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Such as education and political participation, not only in relation to living arrangements: Ibid, para 28-29</w:t>
      </w:r>
    </w:p>
  </w:endnote>
  <w:endnote w:id="10">
    <w:p w:rsidR="001D527A" w:rsidRPr="003F54E6" w:rsidRDefault="001D527A" w:rsidP="001E612E">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Including ‘a wide range’ of services such as housing, public libraries, transport, shops and the internet: Ibid, para 32</w:t>
      </w:r>
    </w:p>
  </w:endnote>
  <w:endnote w:id="11">
    <w:p w:rsidR="001D527A" w:rsidRPr="003F54E6" w:rsidRDefault="001D527A" w:rsidP="001E612E">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Ibid, paras 33-37.</w:t>
      </w:r>
    </w:p>
  </w:endnote>
  <w:endnote w:id="12">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Alongside UNCRPD General Comment No. 2, available at: </w:t>
      </w:r>
      <w:hyperlink r:id="rId8" w:history="1">
        <w:r w:rsidRPr="003F54E6">
          <w:rPr>
            <w:rStyle w:val="Hyperlink"/>
            <w:rFonts w:ascii="Arial" w:hAnsi="Arial" w:cs="Arial"/>
            <w:sz w:val="22"/>
          </w:rPr>
          <w:t>http://tbinternet.ohchr.org/_layouts/treatybodyexternal/Download.aspx?symbolno=CRPD/C/GC/2&amp;Lang=en</w:t>
        </w:r>
      </w:hyperlink>
      <w:r w:rsidRPr="003F54E6">
        <w:rPr>
          <w:rFonts w:ascii="Arial" w:hAnsi="Arial" w:cs="Arial"/>
          <w:sz w:val="22"/>
        </w:rPr>
        <w:t xml:space="preserve"> </w:t>
      </w:r>
      <w:r w:rsidR="00062620" w:rsidRPr="003F54E6">
        <w:rPr>
          <w:rFonts w:ascii="Arial" w:hAnsi="Arial" w:cs="Arial"/>
          <w:sz w:val="22"/>
        </w:rPr>
        <w:t>[accessed: 29 January 2019].</w:t>
      </w:r>
    </w:p>
  </w:endnote>
  <w:endnote w:id="13">
    <w:p w:rsidR="00E536E5" w:rsidRPr="003F54E6" w:rsidRDefault="00E536E5">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Note that ‘accessibility’ and ‘reasonable accommodation’ </w:t>
      </w:r>
      <w:r w:rsidR="001A6CD9" w:rsidRPr="003F54E6">
        <w:rPr>
          <w:rFonts w:ascii="Arial" w:hAnsi="Arial" w:cs="Arial"/>
          <w:sz w:val="22"/>
        </w:rPr>
        <w:t xml:space="preserve">duties </w:t>
      </w:r>
      <w:r w:rsidRPr="003F54E6">
        <w:rPr>
          <w:rFonts w:ascii="Arial" w:hAnsi="Arial" w:cs="Arial"/>
          <w:sz w:val="22"/>
        </w:rPr>
        <w:t xml:space="preserve">are </w:t>
      </w:r>
      <w:r w:rsidR="001A6CD9" w:rsidRPr="003F54E6">
        <w:rPr>
          <w:rFonts w:ascii="Arial" w:hAnsi="Arial" w:cs="Arial"/>
          <w:sz w:val="22"/>
        </w:rPr>
        <w:t>distinct</w:t>
      </w:r>
      <w:r w:rsidRPr="003F54E6">
        <w:rPr>
          <w:rFonts w:ascii="Arial" w:hAnsi="Arial" w:cs="Arial"/>
          <w:sz w:val="22"/>
        </w:rPr>
        <w:t xml:space="preserve"> within the UNCRPD.</w:t>
      </w:r>
      <w:r w:rsidR="001A6CD9" w:rsidRPr="003F54E6">
        <w:rPr>
          <w:rFonts w:ascii="Arial" w:hAnsi="Arial" w:cs="Arial"/>
          <w:sz w:val="22"/>
        </w:rPr>
        <w:t xml:space="preserve"> In particular, accessibility duties are </w:t>
      </w:r>
      <w:r w:rsidR="001A6CD9" w:rsidRPr="003F54E6">
        <w:rPr>
          <w:rFonts w:ascii="Arial" w:hAnsi="Arial" w:cs="Arial"/>
          <w:i/>
          <w:sz w:val="22"/>
        </w:rPr>
        <w:t xml:space="preserve">ex </w:t>
      </w:r>
      <w:r w:rsidR="001A6CD9" w:rsidRPr="003F54E6">
        <w:rPr>
          <w:rFonts w:ascii="Arial" w:hAnsi="Arial" w:cs="Arial"/>
          <w:sz w:val="22"/>
        </w:rPr>
        <w:t xml:space="preserve">ante/anticipatory, reasonable accommodations are </w:t>
      </w:r>
      <w:r w:rsidR="001A6CD9" w:rsidRPr="003F54E6">
        <w:rPr>
          <w:rFonts w:ascii="Arial" w:hAnsi="Arial" w:cs="Arial"/>
          <w:i/>
          <w:sz w:val="22"/>
        </w:rPr>
        <w:t xml:space="preserve">ex </w:t>
      </w:r>
      <w:proofErr w:type="spellStart"/>
      <w:r w:rsidR="001A6CD9" w:rsidRPr="003F54E6">
        <w:rPr>
          <w:rFonts w:ascii="Arial" w:hAnsi="Arial" w:cs="Arial"/>
          <w:i/>
          <w:sz w:val="22"/>
        </w:rPr>
        <w:t>nunc</w:t>
      </w:r>
      <w:proofErr w:type="spellEnd"/>
      <w:r w:rsidR="001A6CD9" w:rsidRPr="003F54E6">
        <w:rPr>
          <w:rFonts w:ascii="Arial" w:hAnsi="Arial" w:cs="Arial"/>
          <w:sz w:val="22"/>
        </w:rPr>
        <w:t xml:space="preserve">/after the event. See UNCRPD General Comment No. 6, paras 23-24, available at: </w:t>
      </w:r>
      <w:hyperlink r:id="rId9" w:history="1">
        <w:r w:rsidR="001A6CD9" w:rsidRPr="003F54E6">
          <w:rPr>
            <w:rStyle w:val="Hyperlink"/>
            <w:rFonts w:ascii="Arial" w:hAnsi="Arial" w:cs="Arial"/>
            <w:sz w:val="22"/>
          </w:rPr>
          <w:t>https://tbinternet.ohchr.org/_layouts/treatybodyexternal/Download.aspx?symbolno=CRPD/C/GC/6&amp;Lang=en</w:t>
        </w:r>
      </w:hyperlink>
      <w:r w:rsidR="001A6CD9" w:rsidRPr="003F54E6">
        <w:rPr>
          <w:rFonts w:ascii="Arial" w:hAnsi="Arial" w:cs="Arial"/>
          <w:sz w:val="22"/>
        </w:rPr>
        <w:t xml:space="preserve"> [accessed: 31 January 2019].</w:t>
      </w:r>
    </w:p>
  </w:endnote>
  <w:endnote w:id="14">
    <w:p w:rsidR="005E5938" w:rsidRPr="003F54E6" w:rsidRDefault="005E5938" w:rsidP="005E5938">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In addition, guidelines on UNCRPD Article 14 make it clear that anyone deprived of their dignity </w:t>
      </w:r>
      <w:proofErr w:type="gramStart"/>
      <w:r w:rsidRPr="003F54E6">
        <w:rPr>
          <w:rFonts w:ascii="Arial" w:hAnsi="Arial" w:cs="Arial"/>
          <w:sz w:val="22"/>
        </w:rPr>
        <w:t>must be treated</w:t>
      </w:r>
      <w:proofErr w:type="gramEnd"/>
      <w:r w:rsidRPr="003F54E6">
        <w:rPr>
          <w:rFonts w:ascii="Arial" w:hAnsi="Arial" w:cs="Arial"/>
          <w:sz w:val="22"/>
        </w:rPr>
        <w:t xml:space="preserve"> with respect for their personal integrity. See: </w:t>
      </w:r>
      <w:hyperlink r:id="rId10" w:history="1">
        <w:r w:rsidRPr="003F54E6">
          <w:rPr>
            <w:rStyle w:val="Hyperlink"/>
            <w:rFonts w:ascii="Arial" w:hAnsi="Arial" w:cs="Arial"/>
            <w:sz w:val="22"/>
          </w:rPr>
          <w:t>https://www.ohchr.org/Documents/HRBodies/CRPD/GC/GuidelinesArticle14.doc</w:t>
        </w:r>
      </w:hyperlink>
      <w:r w:rsidRPr="003F54E6">
        <w:rPr>
          <w:rFonts w:ascii="Arial" w:hAnsi="Arial" w:cs="Arial"/>
          <w:sz w:val="22"/>
        </w:rPr>
        <w:t xml:space="preserve"> </w:t>
      </w:r>
    </w:p>
  </w:endnote>
  <w:endnote w:id="15">
    <w:p w:rsidR="005E5938" w:rsidRPr="003F54E6" w:rsidRDefault="005E5938" w:rsidP="006A46F8">
      <w:pPr>
        <w:spacing w:after="0" w:line="240" w:lineRule="auto"/>
        <w:rPr>
          <w:rFonts w:ascii="Arial" w:hAnsi="Arial" w:cs="Arial"/>
          <w:szCs w:val="20"/>
        </w:rPr>
      </w:pPr>
      <w:r w:rsidRPr="003F54E6">
        <w:rPr>
          <w:rStyle w:val="EndnoteReference"/>
          <w:rFonts w:ascii="Arial" w:hAnsi="Arial" w:cs="Arial"/>
          <w:szCs w:val="20"/>
        </w:rPr>
        <w:endnoteRef/>
      </w:r>
      <w:r w:rsidRPr="003F54E6">
        <w:rPr>
          <w:rFonts w:ascii="Arial" w:hAnsi="Arial" w:cs="Arial"/>
          <w:szCs w:val="20"/>
        </w:rPr>
        <w:t xml:space="preserve"> Equality and Human Rights Commission (2011), ‘Close to Home: An inquiry into older people and human rights in home care’, available at: </w:t>
      </w:r>
      <w:hyperlink r:id="rId11" w:history="1">
        <w:r w:rsidRPr="003F54E6">
          <w:rPr>
            <w:rStyle w:val="Hyperlink"/>
            <w:rFonts w:ascii="Arial" w:hAnsi="Arial" w:cs="Arial"/>
            <w:szCs w:val="20"/>
          </w:rPr>
          <w:t>https://www.equalityhumanrights.com/en/inquiries-and-investigations/inquiry-home-care-older-people/download-home-care-report</w:t>
        </w:r>
      </w:hyperlink>
      <w:r w:rsidR="00C5282A" w:rsidRPr="003F54E6">
        <w:rPr>
          <w:rStyle w:val="Hyperlink"/>
          <w:rFonts w:ascii="Arial" w:hAnsi="Arial" w:cs="Arial"/>
          <w:szCs w:val="20"/>
          <w:u w:val="none"/>
        </w:rPr>
        <w:t xml:space="preserve"> </w:t>
      </w:r>
      <w:r w:rsidR="006A46F8" w:rsidRPr="003F54E6">
        <w:rPr>
          <w:rFonts w:ascii="Arial" w:hAnsi="Arial" w:cs="Arial"/>
          <w:szCs w:val="20"/>
        </w:rPr>
        <w:t>[accessed: 30 January 2019].</w:t>
      </w:r>
    </w:p>
  </w:endnote>
  <w:endnote w:id="16">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OHCHR (2012), ‘Normative standards in international human rights law in relation to older persons – analytical outcome paper’, page 22, available at: </w:t>
      </w:r>
      <w:hyperlink r:id="rId12" w:history="1">
        <w:r w:rsidRPr="003F54E6">
          <w:rPr>
            <w:rStyle w:val="Hyperlink"/>
            <w:rFonts w:ascii="Arial" w:hAnsi="Arial" w:cs="Arial"/>
            <w:sz w:val="22"/>
          </w:rPr>
          <w:t>https://social.un.org/ageing-working-group/documents/OHCHRAnalyticalOutcomePaperonOldePersonsAugust2012.doc</w:t>
        </w:r>
      </w:hyperlink>
      <w:r w:rsidRPr="003F54E6">
        <w:rPr>
          <w:rFonts w:ascii="Arial" w:hAnsi="Arial" w:cs="Arial"/>
          <w:sz w:val="22"/>
        </w:rPr>
        <w:t xml:space="preserve"> </w:t>
      </w:r>
    </w:p>
  </w:endnote>
  <w:endnote w:id="17">
    <w:p w:rsidR="001D527A" w:rsidRPr="003F54E6" w:rsidRDefault="001D527A" w:rsidP="00D239C5">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t>
      </w:r>
      <w:hyperlink r:id="rId13" w:history="1">
        <w:r w:rsidRPr="003F54E6">
          <w:rPr>
            <w:rStyle w:val="Hyperlink"/>
            <w:rFonts w:ascii="Arial" w:hAnsi="Arial" w:cs="Arial"/>
            <w:sz w:val="22"/>
          </w:rPr>
          <w:t>https://www.age-platform.eu/policy-work/news/extending-reasonable-accommodation-older-people</w:t>
        </w:r>
      </w:hyperlink>
      <w:r w:rsidRPr="003F54E6">
        <w:rPr>
          <w:rFonts w:ascii="Arial" w:hAnsi="Arial" w:cs="Arial"/>
          <w:sz w:val="22"/>
        </w:rPr>
        <w:t xml:space="preserve"> </w:t>
      </w:r>
      <w:r w:rsidR="006A46F8" w:rsidRPr="003F54E6">
        <w:rPr>
          <w:rFonts w:ascii="Arial" w:hAnsi="Arial" w:cs="Arial"/>
          <w:sz w:val="22"/>
        </w:rPr>
        <w:t>[accessed: 18 January 2019].</w:t>
      </w:r>
    </w:p>
  </w:endnote>
  <w:endnote w:id="18">
    <w:p w:rsidR="001D527A" w:rsidRPr="003F54E6" w:rsidRDefault="001D527A">
      <w:pPr>
        <w:pStyle w:val="EndnoteText"/>
        <w:rPr>
          <w:sz w:val="22"/>
        </w:rPr>
      </w:pPr>
      <w:r w:rsidRPr="003F54E6">
        <w:rPr>
          <w:rStyle w:val="EndnoteReference"/>
          <w:rFonts w:ascii="Arial" w:hAnsi="Arial" w:cs="Arial"/>
          <w:sz w:val="22"/>
        </w:rPr>
        <w:endnoteRef/>
      </w:r>
      <w:r w:rsidRPr="003F54E6">
        <w:rPr>
          <w:rFonts w:ascii="Arial" w:hAnsi="Arial" w:cs="Arial"/>
          <w:sz w:val="22"/>
        </w:rPr>
        <w:t xml:space="preserve"> For an overview of some key issues in Great Britain, see: Age UK (2018) ‘Ageism and Age Equality (Great Britain) – Policy Position Paper’, available at: </w:t>
      </w:r>
      <w:hyperlink r:id="rId14" w:history="1">
        <w:r w:rsidRPr="003F54E6">
          <w:rPr>
            <w:rStyle w:val="Hyperlink"/>
            <w:rFonts w:ascii="Arial" w:hAnsi="Arial" w:cs="Arial"/>
            <w:sz w:val="22"/>
          </w:rPr>
          <w:t>https://www.ageuk.org.uk/globalassets/age-uk/documents/policy-positions/cross-cutting-issues/ageism-and-age-equality-pp-great-britain-august-2018.pdf</w:t>
        </w:r>
      </w:hyperlink>
      <w:r w:rsidRPr="003F54E6">
        <w:rPr>
          <w:sz w:val="22"/>
        </w:rPr>
        <w:t xml:space="preserve"> </w:t>
      </w:r>
      <w:r w:rsidR="006A46F8" w:rsidRPr="003F54E6">
        <w:rPr>
          <w:rFonts w:ascii="Arial" w:hAnsi="Arial" w:cs="Arial"/>
          <w:sz w:val="22"/>
        </w:rPr>
        <w:t>[accessed: 18 January 2019].</w:t>
      </w:r>
    </w:p>
  </w:endnote>
  <w:endnote w:id="19">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RSPH (2018), ‘That Age Old Question: How attitudes to ageing affect our health and wellbeing,’ available at: </w:t>
      </w:r>
      <w:hyperlink r:id="rId15" w:history="1">
        <w:r w:rsidRPr="003F54E6">
          <w:rPr>
            <w:rStyle w:val="Hyperlink"/>
            <w:rFonts w:ascii="Arial" w:hAnsi="Arial" w:cs="Arial"/>
            <w:sz w:val="22"/>
          </w:rPr>
          <w:t>https://www.rsph.org.uk/uploads/assets/uploaded/010d3159-0d36-4707-aee54e29047c8e3a.pdf</w:t>
        </w:r>
      </w:hyperlink>
      <w:r w:rsidRPr="003F54E6">
        <w:rPr>
          <w:rFonts w:ascii="Arial" w:hAnsi="Arial" w:cs="Arial"/>
          <w:sz w:val="22"/>
        </w:rPr>
        <w:t xml:space="preserve"> </w:t>
      </w:r>
      <w:r w:rsidR="006A46F8" w:rsidRPr="003F54E6">
        <w:rPr>
          <w:rFonts w:ascii="Arial" w:hAnsi="Arial" w:cs="Arial"/>
          <w:sz w:val="22"/>
        </w:rPr>
        <w:t>[accessed: 28 January 2019].</w:t>
      </w:r>
    </w:p>
  </w:endnote>
  <w:endnote w:id="20">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Women and Equalities Committee (2018), </w:t>
      </w:r>
      <w:r w:rsidR="00D3220C" w:rsidRPr="003F54E6">
        <w:rPr>
          <w:rFonts w:ascii="Arial" w:hAnsi="Arial" w:cs="Arial"/>
          <w:sz w:val="22"/>
        </w:rPr>
        <w:t>‘Older people and employment’, a</w:t>
      </w:r>
      <w:r w:rsidRPr="003F54E6">
        <w:rPr>
          <w:rFonts w:ascii="Arial" w:hAnsi="Arial" w:cs="Arial"/>
          <w:sz w:val="22"/>
        </w:rPr>
        <w:t xml:space="preserve">vailable at: </w:t>
      </w:r>
      <w:hyperlink r:id="rId16" w:history="1">
        <w:r w:rsidRPr="003F54E6">
          <w:rPr>
            <w:rStyle w:val="Hyperlink"/>
            <w:rFonts w:ascii="Arial" w:hAnsi="Arial" w:cs="Arial"/>
            <w:sz w:val="22"/>
          </w:rPr>
          <w:t>https://publications.parliament.uk/pa/cm201719/cmselect/cmwomeq/359/359.pdf</w:t>
        </w:r>
      </w:hyperlink>
      <w:r w:rsidRPr="003F54E6">
        <w:rPr>
          <w:rFonts w:ascii="Arial" w:hAnsi="Arial" w:cs="Arial"/>
          <w:sz w:val="22"/>
        </w:rPr>
        <w:t xml:space="preserve"> </w:t>
      </w:r>
      <w:r w:rsidR="006A46F8" w:rsidRPr="003F54E6">
        <w:rPr>
          <w:rFonts w:ascii="Arial" w:hAnsi="Arial" w:cs="Arial"/>
          <w:sz w:val="22"/>
        </w:rPr>
        <w:t>[accessed: 28 January 2019].</w:t>
      </w:r>
    </w:p>
  </w:endnote>
  <w:endnote w:id="21">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t>
      </w:r>
      <w:r w:rsidR="00D3220C" w:rsidRPr="003F54E6">
        <w:rPr>
          <w:rFonts w:ascii="Arial" w:hAnsi="Arial" w:cs="Arial"/>
          <w:sz w:val="22"/>
        </w:rPr>
        <w:t xml:space="preserve">EHRC (2018), ‘Is Britain Fairer? The state of equality and human rights 2018, p. 83, available at: </w:t>
      </w:r>
      <w:hyperlink r:id="rId17" w:history="1">
        <w:r w:rsidR="00D3220C" w:rsidRPr="003F54E6">
          <w:rPr>
            <w:rStyle w:val="Hyperlink"/>
            <w:rFonts w:ascii="Arial" w:hAnsi="Arial" w:cs="Arial"/>
            <w:sz w:val="22"/>
          </w:rPr>
          <w:t>https://www.equalityhumanrights.com/en/publication-download/britain-fairer-2018</w:t>
        </w:r>
      </w:hyperlink>
      <w:r w:rsidR="006A46F8" w:rsidRPr="003F54E6">
        <w:rPr>
          <w:rStyle w:val="Hyperlink"/>
          <w:rFonts w:ascii="Arial" w:hAnsi="Arial" w:cs="Arial"/>
          <w:sz w:val="22"/>
          <w:u w:val="none"/>
        </w:rPr>
        <w:t xml:space="preserve"> </w:t>
      </w:r>
      <w:r w:rsidR="006A46F8" w:rsidRPr="003F54E6">
        <w:rPr>
          <w:rFonts w:ascii="Arial" w:hAnsi="Arial" w:cs="Arial"/>
          <w:sz w:val="22"/>
        </w:rPr>
        <w:t xml:space="preserve">[accessed: 28 January 2019]. </w:t>
      </w:r>
      <w:r w:rsidR="00D3220C" w:rsidRPr="003F54E6">
        <w:rPr>
          <w:rFonts w:ascii="Arial" w:hAnsi="Arial" w:cs="Arial"/>
          <w:sz w:val="22"/>
        </w:rPr>
        <w:t xml:space="preserve">See also:  EHRC (2018), ‘Housing and disabled people: </w:t>
      </w:r>
      <w:proofErr w:type="gramStart"/>
      <w:r w:rsidR="00D3220C" w:rsidRPr="003F54E6">
        <w:rPr>
          <w:rFonts w:ascii="Arial" w:hAnsi="Arial" w:cs="Arial"/>
          <w:sz w:val="22"/>
        </w:rPr>
        <w:t>Britain’s</w:t>
      </w:r>
      <w:proofErr w:type="gramEnd"/>
      <w:r w:rsidR="00D3220C" w:rsidRPr="003F54E6">
        <w:rPr>
          <w:rFonts w:ascii="Arial" w:hAnsi="Arial" w:cs="Arial"/>
          <w:sz w:val="22"/>
        </w:rPr>
        <w:t xml:space="preserve"> hidden crisis’, available at: </w:t>
      </w:r>
      <w:hyperlink r:id="rId18" w:history="1">
        <w:r w:rsidR="00D3220C" w:rsidRPr="003F54E6">
          <w:rPr>
            <w:rStyle w:val="Hyperlink"/>
            <w:rFonts w:ascii="Arial" w:hAnsi="Arial" w:cs="Arial"/>
            <w:sz w:val="22"/>
          </w:rPr>
          <w:t>https://www.equalityhumanrights.com/en/publication-download/housing-and-disabled-people-britains-hidden-crisis</w:t>
        </w:r>
      </w:hyperlink>
      <w:r w:rsidR="006A46F8" w:rsidRPr="003F54E6">
        <w:rPr>
          <w:rStyle w:val="Hyperlink"/>
          <w:rFonts w:ascii="Arial" w:hAnsi="Arial" w:cs="Arial"/>
          <w:sz w:val="22"/>
          <w:u w:val="none"/>
        </w:rPr>
        <w:t xml:space="preserve"> </w:t>
      </w:r>
      <w:r w:rsidR="006A46F8" w:rsidRPr="003F54E6">
        <w:rPr>
          <w:rFonts w:ascii="Arial" w:hAnsi="Arial" w:cs="Arial"/>
          <w:sz w:val="22"/>
        </w:rPr>
        <w:t>[accessed: 28 January 2019].</w:t>
      </w:r>
    </w:p>
  </w:endnote>
  <w:endnote w:id="22">
    <w:p w:rsidR="001D527A" w:rsidRPr="003F54E6" w:rsidRDefault="001D527A">
      <w:pPr>
        <w:pStyle w:val="EndnoteText"/>
        <w:rPr>
          <w:sz w:val="22"/>
        </w:rPr>
      </w:pPr>
      <w:r w:rsidRPr="003F54E6">
        <w:rPr>
          <w:rStyle w:val="EndnoteReference"/>
          <w:rFonts w:ascii="Arial" w:hAnsi="Arial" w:cs="Arial"/>
          <w:sz w:val="22"/>
        </w:rPr>
        <w:endnoteRef/>
      </w:r>
      <w:r w:rsidRPr="003F54E6">
        <w:rPr>
          <w:rFonts w:ascii="Arial" w:hAnsi="Arial" w:cs="Arial"/>
          <w:sz w:val="22"/>
        </w:rPr>
        <w:t xml:space="preserve"> All Party Parliamentary Group on Ageing and Older People (2018), ‘Inquiry into human rights and older people: Protecting rights as we age’, available at: </w:t>
      </w:r>
      <w:hyperlink r:id="rId19" w:history="1">
        <w:r w:rsidRPr="003F54E6">
          <w:rPr>
            <w:rStyle w:val="Hyperlink"/>
            <w:rFonts w:ascii="Arial" w:hAnsi="Arial" w:cs="Arial"/>
            <w:sz w:val="22"/>
          </w:rPr>
          <w:t>https://www.ageuk.org.uk/globalassets/age-uk/documents/reports-and-publications/appg/appg_ageingandolderpeople_humanrights_jun18.pdf</w:t>
        </w:r>
      </w:hyperlink>
      <w:r w:rsidR="006A46F8" w:rsidRPr="003F54E6">
        <w:rPr>
          <w:rStyle w:val="Hyperlink"/>
          <w:rFonts w:ascii="Arial" w:hAnsi="Arial" w:cs="Arial"/>
          <w:sz w:val="22"/>
          <w:u w:val="none"/>
        </w:rPr>
        <w:t xml:space="preserve"> </w:t>
      </w:r>
      <w:r w:rsidR="006A46F8" w:rsidRPr="003F54E6">
        <w:rPr>
          <w:rFonts w:ascii="Arial" w:hAnsi="Arial" w:cs="Arial"/>
          <w:sz w:val="22"/>
        </w:rPr>
        <w:t>[accessed: 18 January 2019].</w:t>
      </w:r>
    </w:p>
  </w:endnote>
  <w:endnote w:id="23">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Such as mortgages and travel insurance. The Equality Act 2010 </w:t>
      </w:r>
      <w:r w:rsidRPr="003F54E6">
        <w:rPr>
          <w:rFonts w:ascii="Arial" w:hAnsi="Arial" w:cs="Arial"/>
          <w:sz w:val="22"/>
          <w:shd w:val="clear" w:color="auto" w:fill="FFFFFF"/>
        </w:rPr>
        <w:t>does not currently require service providers not to discriminate against people because of their age or the age group to which they belong. See:</w:t>
      </w:r>
      <w:r w:rsidRPr="003F54E6">
        <w:rPr>
          <w:rFonts w:ascii="Arial" w:hAnsi="Arial" w:cs="Arial"/>
          <w:sz w:val="22"/>
        </w:rPr>
        <w:t xml:space="preserve"> </w:t>
      </w:r>
      <w:hyperlink r:id="rId20" w:history="1">
        <w:r w:rsidRPr="003F54E6">
          <w:rPr>
            <w:rStyle w:val="Hyperlink"/>
            <w:rFonts w:ascii="Arial" w:hAnsi="Arial" w:cs="Arial"/>
            <w:sz w:val="22"/>
          </w:rPr>
          <w:t>htttps://www.equalityhumanrights.com/en/advice-and-guidance/equality-law-banks-and-other-financial-services-providers</w:t>
        </w:r>
      </w:hyperlink>
      <w:r w:rsidR="006A46F8" w:rsidRPr="003F54E6">
        <w:rPr>
          <w:rFonts w:ascii="Arial" w:hAnsi="Arial" w:cs="Arial"/>
          <w:sz w:val="22"/>
        </w:rPr>
        <w:t xml:space="preserve"> [accessed: 18 January 2019].</w:t>
      </w:r>
      <w:r w:rsidRPr="003F54E6">
        <w:rPr>
          <w:rFonts w:ascii="Arial" w:hAnsi="Arial" w:cs="Arial"/>
          <w:sz w:val="22"/>
        </w:rPr>
        <w:t xml:space="preserve"> </w:t>
      </w:r>
    </w:p>
  </w:endnote>
  <w:endnote w:id="24">
    <w:p w:rsidR="001D527A" w:rsidRPr="003F54E6" w:rsidRDefault="001D527A" w:rsidP="003E4A04">
      <w:pPr>
        <w:pStyle w:val="EndnoteText"/>
        <w:rPr>
          <w:sz w:val="22"/>
        </w:rPr>
      </w:pPr>
      <w:r w:rsidRPr="003F54E6">
        <w:rPr>
          <w:rStyle w:val="EndnoteReference"/>
          <w:rFonts w:ascii="Arial" w:hAnsi="Arial" w:cs="Arial"/>
          <w:sz w:val="22"/>
        </w:rPr>
        <w:endnoteRef/>
      </w:r>
      <w:r w:rsidRPr="003F54E6">
        <w:rPr>
          <w:rFonts w:ascii="Arial" w:hAnsi="Arial" w:cs="Arial"/>
          <w:sz w:val="22"/>
        </w:rPr>
        <w:t xml:space="preserve"> Financial Conduct Authority (2016), ‘Access to Financial Services in the UK’, pp 106 – 118, available at: </w:t>
      </w:r>
      <w:hyperlink r:id="rId21" w:history="1">
        <w:r w:rsidRPr="003F54E6">
          <w:rPr>
            <w:rStyle w:val="Hyperlink"/>
            <w:rFonts w:ascii="Arial" w:hAnsi="Arial" w:cs="Arial"/>
            <w:sz w:val="22"/>
          </w:rPr>
          <w:t>https://www.fca.org.uk/publication/occasional-papers/occasional-paper-17.pdf</w:t>
        </w:r>
      </w:hyperlink>
      <w:r w:rsidR="006A46F8" w:rsidRPr="003F54E6">
        <w:rPr>
          <w:rFonts w:ascii="Arial" w:hAnsi="Arial" w:cs="Arial"/>
          <w:sz w:val="22"/>
        </w:rPr>
        <w:t xml:space="preserve"> [accessed: 14 January 2019],</w:t>
      </w:r>
      <w:r w:rsidRPr="003F54E6">
        <w:rPr>
          <w:rFonts w:ascii="Arial" w:hAnsi="Arial" w:cs="Arial"/>
          <w:sz w:val="22"/>
        </w:rPr>
        <w:t xml:space="preserve"> and Financial Services Ombudsman (2015), ‘Just a number? </w:t>
      </w:r>
      <w:proofErr w:type="gramStart"/>
      <w:r w:rsidRPr="003F54E6">
        <w:rPr>
          <w:rFonts w:ascii="Arial" w:hAnsi="Arial" w:cs="Arial"/>
          <w:sz w:val="22"/>
        </w:rPr>
        <w:t>age</w:t>
      </w:r>
      <w:proofErr w:type="gramEnd"/>
      <w:r w:rsidRPr="003F54E6">
        <w:rPr>
          <w:rFonts w:ascii="Arial" w:hAnsi="Arial" w:cs="Arial"/>
          <w:sz w:val="22"/>
        </w:rPr>
        <w:t xml:space="preserve">, complaints and the ombudsman’, available at: </w:t>
      </w:r>
      <w:hyperlink r:id="rId22" w:history="1">
        <w:r w:rsidRPr="003F54E6">
          <w:rPr>
            <w:rStyle w:val="Hyperlink"/>
            <w:rFonts w:ascii="Arial" w:hAnsi="Arial" w:cs="Arial"/>
            <w:sz w:val="22"/>
          </w:rPr>
          <w:t>https://www.financial-ombudsman.org.uk/publications/policy-statements/age-insight-briefing-2015.pdf</w:t>
        </w:r>
      </w:hyperlink>
      <w:r w:rsidRPr="003F54E6">
        <w:rPr>
          <w:rFonts w:ascii="Arial" w:hAnsi="Arial" w:cs="Arial"/>
          <w:sz w:val="22"/>
        </w:rPr>
        <w:t xml:space="preserve"> </w:t>
      </w:r>
      <w:r w:rsidR="006A46F8" w:rsidRPr="003F54E6">
        <w:rPr>
          <w:rFonts w:ascii="Arial" w:hAnsi="Arial" w:cs="Arial"/>
          <w:sz w:val="22"/>
        </w:rPr>
        <w:t>[accessed: 14 January 2019].</w:t>
      </w:r>
    </w:p>
  </w:endnote>
  <w:endnote w:id="25">
    <w:p w:rsidR="001D527A" w:rsidRPr="003F54E6" w:rsidRDefault="001D527A" w:rsidP="00CB7678">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t>
      </w:r>
      <w:r w:rsidR="005410DE" w:rsidRPr="003F54E6">
        <w:rPr>
          <w:rFonts w:ascii="Arial" w:hAnsi="Arial" w:cs="Arial"/>
          <w:sz w:val="22"/>
        </w:rPr>
        <w:t>I</w:t>
      </w:r>
      <w:r w:rsidR="003D4EE0" w:rsidRPr="003F54E6">
        <w:rPr>
          <w:rFonts w:ascii="Arial" w:hAnsi="Arial" w:cs="Arial"/>
          <w:sz w:val="22"/>
        </w:rPr>
        <w:t xml:space="preserve">CESCR </w:t>
      </w:r>
      <w:r w:rsidR="00487E06" w:rsidRPr="003F54E6">
        <w:rPr>
          <w:rFonts w:ascii="Arial" w:hAnsi="Arial" w:cs="Arial"/>
          <w:sz w:val="22"/>
        </w:rPr>
        <w:t>General Comment N</w:t>
      </w:r>
      <w:r w:rsidRPr="003F54E6">
        <w:rPr>
          <w:rFonts w:ascii="Arial" w:hAnsi="Arial" w:cs="Arial"/>
          <w:sz w:val="22"/>
        </w:rPr>
        <w:t xml:space="preserve">o. </w:t>
      </w:r>
      <w:r w:rsidR="00425353" w:rsidRPr="003F54E6">
        <w:rPr>
          <w:rFonts w:ascii="Arial" w:hAnsi="Arial" w:cs="Arial"/>
          <w:sz w:val="22"/>
        </w:rPr>
        <w:t>1</w:t>
      </w:r>
      <w:r w:rsidRPr="003F54E6">
        <w:rPr>
          <w:rFonts w:ascii="Arial" w:hAnsi="Arial" w:cs="Arial"/>
          <w:sz w:val="22"/>
        </w:rPr>
        <w:t>4</w:t>
      </w:r>
      <w:r w:rsidR="00487E06" w:rsidRPr="003F54E6">
        <w:rPr>
          <w:rFonts w:ascii="Arial" w:hAnsi="Arial" w:cs="Arial"/>
          <w:sz w:val="22"/>
        </w:rPr>
        <w:t>,</w:t>
      </w:r>
      <w:r w:rsidR="0036698A" w:rsidRPr="003F54E6">
        <w:rPr>
          <w:rFonts w:ascii="Arial" w:hAnsi="Arial" w:cs="Arial"/>
          <w:sz w:val="22"/>
        </w:rPr>
        <w:t xml:space="preserve"> para 25,</w:t>
      </w:r>
      <w:r w:rsidR="00487E06" w:rsidRPr="003F54E6">
        <w:rPr>
          <w:rFonts w:ascii="Arial" w:hAnsi="Arial" w:cs="Arial"/>
          <w:sz w:val="22"/>
        </w:rPr>
        <w:t xml:space="preserve"> available at: </w:t>
      </w:r>
      <w:hyperlink r:id="rId23" w:history="1">
        <w:r w:rsidR="00487E06" w:rsidRPr="003F54E6">
          <w:rPr>
            <w:rStyle w:val="Hyperlink"/>
            <w:rFonts w:ascii="Arial" w:hAnsi="Arial" w:cs="Arial"/>
            <w:sz w:val="22"/>
          </w:rPr>
          <w:t>https://tbinternet.ohchr.org/_layouts/treatybodyexternal/Download.aspx?symbolno=E%2fC.12%2f2000%2f4&amp;Lang=en</w:t>
        </w:r>
      </w:hyperlink>
      <w:r w:rsidR="00487E06" w:rsidRPr="003F54E6">
        <w:rPr>
          <w:rFonts w:ascii="Arial" w:hAnsi="Arial" w:cs="Arial"/>
          <w:sz w:val="22"/>
        </w:rPr>
        <w:t xml:space="preserve"> [accessed: 14 January 2019]. This General Comment</w:t>
      </w:r>
      <w:r w:rsidRPr="003F54E6">
        <w:rPr>
          <w:rFonts w:ascii="Arial" w:hAnsi="Arial" w:cs="Arial"/>
          <w:sz w:val="22"/>
        </w:rPr>
        <w:t xml:space="preserve"> also </w:t>
      </w:r>
      <w:r w:rsidR="0091253A" w:rsidRPr="003F54E6">
        <w:rPr>
          <w:rFonts w:ascii="Arial" w:hAnsi="Arial" w:cs="Arial"/>
          <w:sz w:val="22"/>
        </w:rPr>
        <w:t xml:space="preserve">states </w:t>
      </w:r>
      <w:r w:rsidRPr="003F54E6">
        <w:rPr>
          <w:rFonts w:ascii="Arial" w:hAnsi="Arial" w:cs="Arial"/>
          <w:sz w:val="22"/>
        </w:rPr>
        <w:t>that states must not deny access to health services, including palliative care, for any group including older persons</w:t>
      </w:r>
      <w:r w:rsidR="0036698A" w:rsidRPr="003F54E6">
        <w:rPr>
          <w:rFonts w:ascii="Arial" w:hAnsi="Arial" w:cs="Arial"/>
          <w:sz w:val="22"/>
        </w:rPr>
        <w:t xml:space="preserve"> (para 34)</w:t>
      </w:r>
      <w:r w:rsidRPr="003F54E6">
        <w:rPr>
          <w:rFonts w:ascii="Arial" w:hAnsi="Arial" w:cs="Arial"/>
          <w:sz w:val="22"/>
        </w:rPr>
        <w:t>.</w:t>
      </w:r>
      <w:r w:rsidR="00487E06" w:rsidRPr="003F54E6">
        <w:rPr>
          <w:rFonts w:ascii="Arial" w:hAnsi="Arial" w:cs="Arial"/>
          <w:sz w:val="22"/>
        </w:rPr>
        <w:t xml:space="preserve"> </w:t>
      </w:r>
    </w:p>
  </w:endnote>
  <w:endnote w:id="26">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Human Rights Council</w:t>
      </w:r>
      <w:r w:rsidR="005410DE" w:rsidRPr="003F54E6">
        <w:rPr>
          <w:rFonts w:ascii="Arial" w:hAnsi="Arial" w:cs="Arial"/>
          <w:sz w:val="22"/>
        </w:rPr>
        <w:t xml:space="preserve"> (2009), ‘</w:t>
      </w:r>
      <w:r w:rsidRPr="003F54E6">
        <w:rPr>
          <w:rFonts w:ascii="Arial" w:hAnsi="Arial" w:cs="Arial"/>
          <w:sz w:val="22"/>
        </w:rPr>
        <w:t>Report of the Special Rapporteur on torture and other cruel, inhuman or degrading treatm</w:t>
      </w:r>
      <w:r w:rsidR="009C7AF9" w:rsidRPr="003F54E6">
        <w:rPr>
          <w:rFonts w:ascii="Arial" w:hAnsi="Arial" w:cs="Arial"/>
          <w:sz w:val="22"/>
        </w:rPr>
        <w:t xml:space="preserve">ent or punishment, Manfred </w:t>
      </w:r>
      <w:proofErr w:type="spellStart"/>
      <w:r w:rsidR="009C7AF9" w:rsidRPr="003F54E6">
        <w:rPr>
          <w:rFonts w:ascii="Arial" w:hAnsi="Arial" w:cs="Arial"/>
          <w:sz w:val="22"/>
        </w:rPr>
        <w:t>Nowa</w:t>
      </w:r>
      <w:proofErr w:type="spellEnd"/>
      <w:r w:rsidR="005410DE" w:rsidRPr="003F54E6">
        <w:rPr>
          <w:rFonts w:ascii="Arial" w:hAnsi="Arial" w:cs="Arial"/>
          <w:sz w:val="22"/>
        </w:rPr>
        <w:t xml:space="preserve">’, </w:t>
      </w:r>
      <w:r w:rsidRPr="003F54E6">
        <w:rPr>
          <w:rFonts w:ascii="Arial" w:hAnsi="Arial" w:cs="Arial"/>
          <w:sz w:val="22"/>
        </w:rPr>
        <w:t xml:space="preserve">A/HRC/10/ 44. 2009. </w:t>
      </w:r>
      <w:proofErr w:type="gramStart"/>
      <w:r w:rsidRPr="003F54E6">
        <w:rPr>
          <w:rFonts w:ascii="Arial" w:hAnsi="Arial" w:cs="Arial"/>
          <w:sz w:val="22"/>
        </w:rPr>
        <w:t>para</w:t>
      </w:r>
      <w:proofErr w:type="gramEnd"/>
      <w:r w:rsidRPr="003F54E6">
        <w:rPr>
          <w:rFonts w:ascii="Arial" w:hAnsi="Arial" w:cs="Arial"/>
          <w:sz w:val="22"/>
        </w:rPr>
        <w:t xml:space="preserve"> 72, available at:</w:t>
      </w:r>
      <w:r w:rsidR="009C7AF9" w:rsidRPr="003F54E6">
        <w:rPr>
          <w:sz w:val="22"/>
        </w:rPr>
        <w:t xml:space="preserve"> </w:t>
      </w:r>
      <w:hyperlink r:id="rId24" w:history="1">
        <w:r w:rsidR="009C7AF9" w:rsidRPr="003F54E6">
          <w:rPr>
            <w:rStyle w:val="Hyperlink"/>
            <w:rFonts w:ascii="Arial" w:hAnsi="Arial" w:cs="Arial"/>
            <w:sz w:val="22"/>
          </w:rPr>
          <w:t>https://www2.ohchr.org/english/bodies/hrcouncil/docs/10session/A.HRC.10.44AEV.pdf</w:t>
        </w:r>
      </w:hyperlink>
      <w:r w:rsidR="009C7AF9" w:rsidRPr="003F54E6">
        <w:rPr>
          <w:rFonts w:ascii="Arial" w:hAnsi="Arial" w:cs="Arial"/>
          <w:sz w:val="22"/>
        </w:rPr>
        <w:t xml:space="preserve"> </w:t>
      </w:r>
      <w:r w:rsidR="005410DE" w:rsidRPr="003F54E6">
        <w:rPr>
          <w:rFonts w:ascii="Arial" w:hAnsi="Arial" w:cs="Arial"/>
          <w:sz w:val="22"/>
        </w:rPr>
        <w:t>[accessed: 14 January 2019].</w:t>
      </w:r>
      <w:r w:rsidRPr="003F54E6">
        <w:rPr>
          <w:rFonts w:ascii="Arial" w:hAnsi="Arial" w:cs="Arial"/>
          <w:sz w:val="22"/>
        </w:rPr>
        <w:t xml:space="preserve">  </w:t>
      </w:r>
    </w:p>
  </w:endnote>
  <w:endnote w:id="27">
    <w:p w:rsidR="001D527A" w:rsidRPr="003F54E6" w:rsidRDefault="001D527A">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t>
      </w:r>
      <w:proofErr w:type="gramStart"/>
      <w:r w:rsidRPr="003F54E6">
        <w:rPr>
          <w:rFonts w:ascii="Arial" w:hAnsi="Arial" w:cs="Arial"/>
          <w:sz w:val="22"/>
        </w:rPr>
        <w:t>Palliative care has been defined by the</w:t>
      </w:r>
      <w:r w:rsidR="009C7AF9" w:rsidRPr="003F54E6">
        <w:rPr>
          <w:rFonts w:ascii="Arial" w:hAnsi="Arial" w:cs="Arial"/>
          <w:sz w:val="22"/>
        </w:rPr>
        <w:t xml:space="preserve"> World Health Organisation as</w:t>
      </w:r>
      <w:proofErr w:type="gramEnd"/>
      <w:r w:rsidR="009C7AF9" w:rsidRPr="003F54E6">
        <w:rPr>
          <w:rFonts w:ascii="Arial" w:hAnsi="Arial" w:cs="Arial"/>
          <w:sz w:val="22"/>
        </w:rPr>
        <w:t>: ‘</w:t>
      </w:r>
      <w:r w:rsidRPr="003F54E6">
        <w:rPr>
          <w:rFonts w:ascii="Arial" w:hAnsi="Arial" w:cs="Arial"/>
          <w:sz w:val="22"/>
        </w:rPr>
        <w:t>The active, total care of patients whose disease is not responsive to curative treatment. Control of pain, of other symptoms and pf psychological, social and spiritual problem is paramount. The goal of palliative care is the achievement of the best quality of life for patients and their families.</w:t>
      </w:r>
      <w:r w:rsidR="009C7AF9" w:rsidRPr="003F54E6">
        <w:rPr>
          <w:rFonts w:ascii="Arial" w:hAnsi="Arial" w:cs="Arial"/>
          <w:sz w:val="22"/>
        </w:rPr>
        <w:t>’</w:t>
      </w:r>
      <w:r w:rsidRPr="003F54E6">
        <w:rPr>
          <w:rFonts w:ascii="Arial" w:hAnsi="Arial" w:cs="Arial"/>
          <w:sz w:val="22"/>
        </w:rPr>
        <w:t xml:space="preserve"> See: </w:t>
      </w:r>
      <w:hyperlink r:id="rId25" w:history="1">
        <w:r w:rsidRPr="003F54E6">
          <w:rPr>
            <w:rStyle w:val="Hyperlink"/>
            <w:rFonts w:ascii="Arial" w:hAnsi="Arial" w:cs="Arial"/>
            <w:sz w:val="22"/>
          </w:rPr>
          <w:t>https://www.who.int/cancer/palliative/definition/en/</w:t>
        </w:r>
      </w:hyperlink>
      <w:r w:rsidRPr="003F54E6">
        <w:rPr>
          <w:rFonts w:ascii="Arial" w:hAnsi="Arial" w:cs="Arial"/>
          <w:sz w:val="22"/>
        </w:rPr>
        <w:t xml:space="preserve"> </w:t>
      </w:r>
      <w:r w:rsidR="009C7AF9" w:rsidRPr="003F54E6">
        <w:rPr>
          <w:rFonts w:ascii="Arial" w:hAnsi="Arial" w:cs="Arial"/>
          <w:sz w:val="22"/>
        </w:rPr>
        <w:t xml:space="preserve">[accessed: 28 January 2019].  </w:t>
      </w:r>
    </w:p>
  </w:endnote>
  <w:endnote w:id="28">
    <w:p w:rsidR="001D527A" w:rsidRPr="003F54E6" w:rsidRDefault="001D527A" w:rsidP="00662CC7">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Dixon, J. et al (2015), ‘Equity in the provision of palliative care in the UK: Review of evidence’, available at: </w:t>
      </w:r>
      <w:hyperlink r:id="rId26" w:history="1">
        <w:r w:rsidRPr="003F54E6">
          <w:rPr>
            <w:rStyle w:val="Hyperlink"/>
            <w:rFonts w:ascii="Arial" w:hAnsi="Arial" w:cs="Arial"/>
            <w:sz w:val="22"/>
          </w:rPr>
          <w:t>https://www.mariecurie.org.uk/globalassets/media/documents/policy/campaigns/equity-palliative-care-uk-report-full-lse.pdf</w:t>
        </w:r>
      </w:hyperlink>
      <w:r w:rsidRPr="003F54E6">
        <w:rPr>
          <w:rFonts w:ascii="Arial" w:hAnsi="Arial" w:cs="Arial"/>
          <w:sz w:val="22"/>
        </w:rPr>
        <w:t xml:space="preserve"> </w:t>
      </w:r>
      <w:r w:rsidR="009C7AF9" w:rsidRPr="003F54E6">
        <w:rPr>
          <w:rFonts w:ascii="Arial" w:hAnsi="Arial" w:cs="Arial"/>
          <w:sz w:val="22"/>
        </w:rPr>
        <w:t xml:space="preserve">[accessed: 28 January 2019].  </w:t>
      </w:r>
    </w:p>
  </w:endnote>
  <w:endnote w:id="29">
    <w:p w:rsidR="001D527A" w:rsidRPr="003F54E6" w:rsidRDefault="001D527A" w:rsidP="00662CC7">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Pal, M. and Manning, L., ‘Palliative care for frail older people’, Clinical Medicine, available at: </w:t>
      </w:r>
      <w:hyperlink r:id="rId27" w:history="1">
        <w:r w:rsidRPr="003F54E6">
          <w:rPr>
            <w:rStyle w:val="Hyperlink"/>
            <w:rFonts w:ascii="Arial" w:hAnsi="Arial" w:cs="Arial"/>
            <w:sz w:val="22"/>
          </w:rPr>
          <w:t>http://www.clinmed.rcpjournal.org/content/14/3/292.full</w:t>
        </w:r>
      </w:hyperlink>
      <w:r w:rsidR="009C7AF9" w:rsidRPr="003F54E6">
        <w:rPr>
          <w:rStyle w:val="Hyperlink"/>
          <w:rFonts w:ascii="Arial" w:hAnsi="Arial" w:cs="Arial"/>
          <w:sz w:val="22"/>
          <w:u w:val="none"/>
        </w:rPr>
        <w:t xml:space="preserve"> </w:t>
      </w:r>
      <w:r w:rsidR="009C7AF9" w:rsidRPr="003F54E6">
        <w:rPr>
          <w:rFonts w:ascii="Arial" w:hAnsi="Arial" w:cs="Arial"/>
          <w:sz w:val="22"/>
        </w:rPr>
        <w:t xml:space="preserve">[accessed: 28 January 2019].  </w:t>
      </w:r>
      <w:r w:rsidRPr="003F54E6">
        <w:rPr>
          <w:rFonts w:ascii="Arial" w:hAnsi="Arial" w:cs="Arial"/>
          <w:sz w:val="22"/>
        </w:rPr>
        <w:t xml:space="preserve">. See </w:t>
      </w:r>
      <w:proofErr w:type="gramStart"/>
      <w:r w:rsidRPr="003F54E6">
        <w:rPr>
          <w:rFonts w:ascii="Arial" w:hAnsi="Arial" w:cs="Arial"/>
          <w:sz w:val="22"/>
        </w:rPr>
        <w:t>also:</w:t>
      </w:r>
      <w:proofErr w:type="gramEnd"/>
      <w:r w:rsidRPr="003F54E6">
        <w:rPr>
          <w:rFonts w:ascii="Arial" w:hAnsi="Arial" w:cs="Arial"/>
          <w:sz w:val="22"/>
        </w:rPr>
        <w:t xml:space="preserve"> </w:t>
      </w:r>
      <w:hyperlink r:id="rId28" w:history="1">
        <w:r w:rsidRPr="003F54E6">
          <w:rPr>
            <w:rStyle w:val="Hyperlink"/>
            <w:rFonts w:ascii="Arial" w:hAnsi="Arial" w:cs="Arial"/>
            <w:sz w:val="22"/>
          </w:rPr>
          <w:t>https://www.bgs.org.uk/blog/palliative-care-for-frail-older-people-what-when-and-how</w:t>
        </w:r>
      </w:hyperlink>
      <w:r w:rsidR="009C7AF9" w:rsidRPr="003F54E6">
        <w:rPr>
          <w:rStyle w:val="Hyperlink"/>
          <w:rFonts w:ascii="Arial" w:hAnsi="Arial" w:cs="Arial"/>
          <w:sz w:val="22"/>
          <w:u w:val="none"/>
        </w:rPr>
        <w:t xml:space="preserve"> </w:t>
      </w:r>
      <w:r w:rsidR="009C7AF9" w:rsidRPr="003F54E6">
        <w:rPr>
          <w:rFonts w:ascii="Arial" w:hAnsi="Arial" w:cs="Arial"/>
          <w:sz w:val="22"/>
        </w:rPr>
        <w:t xml:space="preserve">[accessed: 28 January 2019].  </w:t>
      </w:r>
    </w:p>
  </w:endnote>
  <w:endnote w:id="30">
    <w:p w:rsidR="001D527A" w:rsidRPr="003F54E6" w:rsidRDefault="001D527A" w:rsidP="00662CC7">
      <w:pPr>
        <w:pStyle w:val="CommentText"/>
        <w:spacing w:after="0"/>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Humphries, R. et al (2016), ‘Social care for older people: Home truths’, available at: </w:t>
      </w:r>
      <w:hyperlink r:id="rId29" w:history="1">
        <w:r w:rsidRPr="003F54E6">
          <w:rPr>
            <w:rStyle w:val="Hyperlink"/>
            <w:rFonts w:ascii="Arial" w:hAnsi="Arial" w:cs="Arial"/>
            <w:sz w:val="22"/>
          </w:rPr>
          <w:t>https://www.kingsfund.org.uk/publications/social-care-older-people</w:t>
        </w:r>
      </w:hyperlink>
      <w:r w:rsidRPr="003F54E6">
        <w:rPr>
          <w:rFonts w:ascii="Arial" w:hAnsi="Arial" w:cs="Arial"/>
          <w:sz w:val="22"/>
        </w:rPr>
        <w:t xml:space="preserve"> </w:t>
      </w:r>
      <w:r w:rsidR="00C34533" w:rsidRPr="003F54E6">
        <w:rPr>
          <w:rFonts w:ascii="Arial" w:hAnsi="Arial" w:cs="Arial"/>
          <w:sz w:val="22"/>
        </w:rPr>
        <w:t xml:space="preserve">[accessed: 14 January 2019].  </w:t>
      </w:r>
      <w:proofErr w:type="gramStart"/>
      <w:r w:rsidRPr="003F54E6">
        <w:rPr>
          <w:rFonts w:ascii="Arial" w:hAnsi="Arial" w:cs="Arial"/>
          <w:sz w:val="22"/>
        </w:rPr>
        <w:t>and</w:t>
      </w:r>
      <w:proofErr w:type="gramEnd"/>
      <w:r w:rsidRPr="003F54E6">
        <w:rPr>
          <w:rFonts w:ascii="Arial" w:hAnsi="Arial" w:cs="Arial"/>
          <w:sz w:val="22"/>
        </w:rPr>
        <w:t xml:space="preserve"> Age UK (2018), Why call it care when nobody cares?’, available at: </w:t>
      </w:r>
      <w:hyperlink r:id="rId30" w:history="1">
        <w:r w:rsidR="00BC270E" w:rsidRPr="003F54E6">
          <w:rPr>
            <w:rStyle w:val="Hyperlink"/>
            <w:rFonts w:ascii="Arial" w:hAnsi="Arial" w:cs="Arial"/>
            <w:sz w:val="22"/>
          </w:rPr>
          <w:t>https://www.ageuk.org.uk/globalassets/age-uk/documents/reports-and-publications/reports-and-briefings/care--support/RB_mar18_social_care_campaignreport.pdf</w:t>
        </w:r>
      </w:hyperlink>
      <w:r w:rsidRPr="003F54E6">
        <w:rPr>
          <w:rFonts w:ascii="Arial" w:hAnsi="Arial" w:cs="Arial"/>
          <w:sz w:val="22"/>
        </w:rPr>
        <w:t xml:space="preserve"> </w:t>
      </w:r>
      <w:r w:rsidR="00C34533" w:rsidRPr="003F54E6">
        <w:rPr>
          <w:rFonts w:ascii="Arial" w:hAnsi="Arial" w:cs="Arial"/>
          <w:sz w:val="22"/>
        </w:rPr>
        <w:t xml:space="preserve">[accessed: 28 January 2019].  </w:t>
      </w:r>
    </w:p>
  </w:endnote>
  <w:endnote w:id="31">
    <w:p w:rsidR="001D527A" w:rsidRPr="003F54E6" w:rsidRDefault="001D527A" w:rsidP="00AE0BA0">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EHRC (2011), ‘Close to home: An inquiry into older people and human rights in home care’, available at: </w:t>
      </w:r>
      <w:hyperlink r:id="rId31" w:history="1">
        <w:r w:rsidRPr="003F54E6">
          <w:rPr>
            <w:rStyle w:val="Hyperlink"/>
            <w:rFonts w:ascii="Arial" w:hAnsi="Arial" w:cs="Arial"/>
            <w:sz w:val="22"/>
          </w:rPr>
          <w:t>https://www.equalityhumanrights.com/en/publication-download/close-home-inquiry-older-people-and-human-rights-home-care</w:t>
        </w:r>
      </w:hyperlink>
      <w:r w:rsidRPr="003F54E6">
        <w:rPr>
          <w:rFonts w:ascii="Arial" w:hAnsi="Arial" w:cs="Arial"/>
          <w:sz w:val="22"/>
        </w:rPr>
        <w:t xml:space="preserve"> </w:t>
      </w:r>
      <w:r w:rsidR="00BC270E" w:rsidRPr="003F54E6">
        <w:rPr>
          <w:rFonts w:ascii="Arial" w:hAnsi="Arial" w:cs="Arial"/>
          <w:sz w:val="22"/>
        </w:rPr>
        <w:t xml:space="preserve">[accessed: 28 January 2019], </w:t>
      </w:r>
      <w:r w:rsidRPr="003F54E6">
        <w:rPr>
          <w:rFonts w:ascii="Arial" w:hAnsi="Arial" w:cs="Arial"/>
          <w:sz w:val="22"/>
        </w:rPr>
        <w:t xml:space="preserve">and Care Quality Commission (2017), ‘The State of adult social care services 2014 – 2017’, available at: </w:t>
      </w:r>
      <w:hyperlink r:id="rId32" w:history="1">
        <w:r w:rsidRPr="003F54E6">
          <w:rPr>
            <w:rStyle w:val="Hyperlink"/>
            <w:rFonts w:ascii="Arial" w:hAnsi="Arial" w:cs="Arial"/>
            <w:sz w:val="22"/>
          </w:rPr>
          <w:t>https://www.cqc.org.uk/publications/major-report/state-adult-social-care-services-2014-2017</w:t>
        </w:r>
      </w:hyperlink>
      <w:r w:rsidR="00BC270E" w:rsidRPr="003F54E6">
        <w:rPr>
          <w:rFonts w:ascii="Arial" w:hAnsi="Arial" w:cs="Arial"/>
          <w:sz w:val="22"/>
        </w:rPr>
        <w:t xml:space="preserve"> [accessed: 28 January 2019].  </w:t>
      </w:r>
      <w:r w:rsidRPr="003F54E6">
        <w:rPr>
          <w:rFonts w:ascii="Arial" w:hAnsi="Arial" w:cs="Arial"/>
          <w:sz w:val="22"/>
        </w:rPr>
        <w:t xml:space="preserve"> </w:t>
      </w:r>
    </w:p>
  </w:endnote>
  <w:endnote w:id="32">
    <w:p w:rsidR="001D527A" w:rsidRPr="003F54E6" w:rsidRDefault="001D527A" w:rsidP="00AE0BA0">
      <w:pPr>
        <w:pStyle w:val="CommentText"/>
        <w:spacing w:after="0"/>
        <w:rPr>
          <w:sz w:val="22"/>
        </w:rPr>
      </w:pPr>
      <w:r w:rsidRPr="003F54E6">
        <w:rPr>
          <w:rStyle w:val="EndnoteReference"/>
          <w:rFonts w:ascii="Arial" w:hAnsi="Arial" w:cs="Arial"/>
          <w:sz w:val="22"/>
        </w:rPr>
        <w:endnoteRef/>
      </w:r>
      <w:r w:rsidRPr="003F54E6">
        <w:rPr>
          <w:rFonts w:ascii="Arial" w:hAnsi="Arial" w:cs="Arial"/>
          <w:sz w:val="22"/>
        </w:rPr>
        <w:t xml:space="preserve"> For evidence on the prevalence of chemical restraint via antipsychotic drug prescriptions, see: </w:t>
      </w:r>
      <w:proofErr w:type="spellStart"/>
      <w:r w:rsidRPr="003F54E6">
        <w:rPr>
          <w:rFonts w:ascii="Arial" w:hAnsi="Arial" w:cs="Arial"/>
          <w:sz w:val="22"/>
        </w:rPr>
        <w:t>Szczepura</w:t>
      </w:r>
      <w:proofErr w:type="spellEnd"/>
      <w:r w:rsidRPr="003F54E6">
        <w:rPr>
          <w:rFonts w:ascii="Arial" w:hAnsi="Arial" w:cs="Arial"/>
          <w:sz w:val="22"/>
        </w:rPr>
        <w:t xml:space="preserve">, A. et al (2016), ‘Antipsychotic prescribing in care homes before and after launch of a national dementia strategy: an observational study in English institutions over a 4-year period’, BMJ Open, available at: </w:t>
      </w:r>
      <w:hyperlink r:id="rId33" w:history="1">
        <w:r w:rsidRPr="003F54E6">
          <w:rPr>
            <w:rStyle w:val="Hyperlink"/>
            <w:rFonts w:ascii="Arial" w:hAnsi="Arial" w:cs="Arial"/>
            <w:sz w:val="22"/>
          </w:rPr>
          <w:t>https://bmjopen.bmj.com/content/6/9/e009882</w:t>
        </w:r>
      </w:hyperlink>
      <w:r w:rsidR="00BC270E" w:rsidRPr="003F54E6">
        <w:rPr>
          <w:rStyle w:val="Hyperlink"/>
          <w:rFonts w:ascii="Arial" w:hAnsi="Arial" w:cs="Arial"/>
          <w:sz w:val="22"/>
        </w:rPr>
        <w:t xml:space="preserve"> </w:t>
      </w:r>
      <w:r w:rsidR="00BC270E" w:rsidRPr="003F54E6">
        <w:rPr>
          <w:rFonts w:ascii="Arial" w:hAnsi="Arial" w:cs="Arial"/>
          <w:sz w:val="22"/>
        </w:rPr>
        <w:t xml:space="preserve">[accessed: 14 January 2019].  </w:t>
      </w:r>
    </w:p>
  </w:endnote>
  <w:endnote w:id="33">
    <w:p w:rsidR="00DD6EF0" w:rsidRPr="003F54E6" w:rsidRDefault="00DD6EF0" w:rsidP="00DD6EF0">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t>
      </w:r>
      <w:proofErr w:type="spellStart"/>
      <w:r w:rsidRPr="003F54E6">
        <w:rPr>
          <w:rFonts w:ascii="Arial" w:hAnsi="Arial" w:cs="Arial"/>
          <w:sz w:val="22"/>
        </w:rPr>
        <w:t>Ezer</w:t>
      </w:r>
      <w:proofErr w:type="spellEnd"/>
      <w:r w:rsidRPr="003F54E6">
        <w:rPr>
          <w:rFonts w:ascii="Arial" w:hAnsi="Arial" w:cs="Arial"/>
          <w:sz w:val="22"/>
        </w:rPr>
        <w:t xml:space="preserve">. T., et al. (2018), ‘Palliative Care and Human Rights: A Decade of Evolution in Standards’, Journal of pain and Symptom Management, Vol 55, No 2S, available at: </w:t>
      </w:r>
      <w:hyperlink r:id="rId34" w:history="1">
        <w:r w:rsidRPr="003F54E6">
          <w:rPr>
            <w:rStyle w:val="Hyperlink"/>
            <w:rFonts w:ascii="Arial" w:hAnsi="Arial" w:cs="Arial"/>
            <w:sz w:val="22"/>
          </w:rPr>
          <w:t>https://www.jpsmjournal.com/article/S0885-3924(17)30371-8/pdf</w:t>
        </w:r>
      </w:hyperlink>
      <w:r w:rsidR="00BC270E" w:rsidRPr="003F54E6">
        <w:rPr>
          <w:rFonts w:ascii="Arial" w:hAnsi="Arial" w:cs="Arial"/>
          <w:sz w:val="22"/>
        </w:rPr>
        <w:t xml:space="preserve"> [accessed: 25 January 2019].  </w:t>
      </w:r>
      <w:r w:rsidRPr="003F54E6">
        <w:rPr>
          <w:rFonts w:ascii="Arial" w:hAnsi="Arial" w:cs="Arial"/>
          <w:sz w:val="22"/>
        </w:rPr>
        <w:t xml:space="preserve">See </w:t>
      </w:r>
      <w:proofErr w:type="gramStart"/>
      <w:r w:rsidRPr="003F54E6">
        <w:rPr>
          <w:rFonts w:ascii="Arial" w:hAnsi="Arial" w:cs="Arial"/>
          <w:sz w:val="22"/>
        </w:rPr>
        <w:t>also:</w:t>
      </w:r>
      <w:proofErr w:type="gramEnd"/>
      <w:r w:rsidRPr="003F54E6">
        <w:rPr>
          <w:rFonts w:ascii="Arial" w:hAnsi="Arial" w:cs="Arial"/>
          <w:sz w:val="22"/>
        </w:rPr>
        <w:t xml:space="preserve"> </w:t>
      </w:r>
      <w:hyperlink r:id="rId35" w:history="1">
        <w:r w:rsidRPr="003F54E6">
          <w:rPr>
            <w:rStyle w:val="Hyperlink"/>
            <w:rFonts w:ascii="Arial" w:hAnsi="Arial" w:cs="Arial"/>
            <w:sz w:val="22"/>
          </w:rPr>
          <w:t>https://www.opensocietyfoundations.org/sites/default/files/palliative-care-human-right-fact-sheet-20160218.pdf</w:t>
        </w:r>
      </w:hyperlink>
      <w:r w:rsidRPr="003F54E6">
        <w:rPr>
          <w:rStyle w:val="Hyperlink"/>
          <w:rFonts w:ascii="Arial" w:hAnsi="Arial" w:cs="Arial"/>
          <w:sz w:val="22"/>
          <w:u w:val="none"/>
        </w:rPr>
        <w:t xml:space="preserve"> </w:t>
      </w:r>
      <w:r w:rsidR="00BC270E" w:rsidRPr="003F54E6">
        <w:rPr>
          <w:rFonts w:ascii="Arial" w:hAnsi="Arial" w:cs="Arial"/>
          <w:sz w:val="22"/>
        </w:rPr>
        <w:t xml:space="preserve">[accessed: 25 January 2019].  </w:t>
      </w:r>
    </w:p>
  </w:endnote>
  <w:endnote w:id="34">
    <w:p w:rsidR="001D527A" w:rsidRPr="003F54E6" w:rsidRDefault="001D527A" w:rsidP="00AE0BA0">
      <w:pPr>
        <w:pStyle w:val="EndnoteText"/>
        <w:rPr>
          <w:rFonts w:ascii="Arial" w:hAnsi="Arial" w:cs="Arial"/>
          <w:sz w:val="22"/>
        </w:rPr>
      </w:pPr>
      <w:r w:rsidRPr="003F54E6">
        <w:rPr>
          <w:rStyle w:val="EndnoteReference"/>
          <w:rFonts w:ascii="Arial" w:hAnsi="Arial" w:cs="Arial"/>
          <w:sz w:val="22"/>
        </w:rPr>
        <w:endnoteRef/>
      </w:r>
      <w:r w:rsidRPr="003F54E6">
        <w:rPr>
          <w:rFonts w:ascii="Arial" w:hAnsi="Arial" w:cs="Arial"/>
          <w:sz w:val="22"/>
        </w:rPr>
        <w:t xml:space="preserve"> </w:t>
      </w:r>
      <w:r w:rsidR="00EB3356" w:rsidRPr="003F54E6">
        <w:rPr>
          <w:rFonts w:ascii="Arial" w:hAnsi="Arial" w:cs="Arial"/>
          <w:sz w:val="22"/>
        </w:rPr>
        <w:t>Human Rights Council (2015), ‘</w:t>
      </w:r>
      <w:r w:rsidRPr="003F54E6">
        <w:rPr>
          <w:rFonts w:ascii="Arial" w:hAnsi="Arial" w:cs="Arial"/>
          <w:sz w:val="22"/>
        </w:rPr>
        <w:t xml:space="preserve">Report of the Independent Expert on the enjoyment of all human rights by older persons, Rosa </w:t>
      </w:r>
      <w:proofErr w:type="spellStart"/>
      <w:r w:rsidRPr="003F54E6">
        <w:rPr>
          <w:rFonts w:ascii="Arial" w:hAnsi="Arial" w:cs="Arial"/>
          <w:sz w:val="22"/>
        </w:rPr>
        <w:t>Kornfeld</w:t>
      </w:r>
      <w:proofErr w:type="spellEnd"/>
      <w:r w:rsidRPr="003F54E6">
        <w:rPr>
          <w:rFonts w:ascii="Arial" w:hAnsi="Arial" w:cs="Arial"/>
          <w:sz w:val="22"/>
        </w:rPr>
        <w:t>-Matte</w:t>
      </w:r>
      <w:r w:rsidR="00EB3356" w:rsidRPr="003F54E6">
        <w:rPr>
          <w:rFonts w:ascii="Arial" w:hAnsi="Arial" w:cs="Arial"/>
          <w:sz w:val="22"/>
        </w:rPr>
        <w:t>’</w:t>
      </w:r>
      <w:r w:rsidRPr="003F54E6">
        <w:rPr>
          <w:rFonts w:ascii="Arial" w:hAnsi="Arial" w:cs="Arial"/>
          <w:sz w:val="22"/>
        </w:rPr>
        <w:t>, A/ HR</w:t>
      </w:r>
      <w:r w:rsidR="00EB3356" w:rsidRPr="003F54E6">
        <w:rPr>
          <w:rFonts w:ascii="Arial" w:hAnsi="Arial" w:cs="Arial"/>
          <w:sz w:val="22"/>
        </w:rPr>
        <w:t>C/30/43, paras 87 and 131, available at:</w:t>
      </w:r>
      <w:r w:rsidRPr="003F54E6">
        <w:rPr>
          <w:rFonts w:ascii="Arial" w:hAnsi="Arial" w:cs="Arial"/>
          <w:sz w:val="22"/>
        </w:rPr>
        <w:t xml:space="preserve"> </w:t>
      </w:r>
      <w:hyperlink r:id="rId36" w:history="1">
        <w:r w:rsidR="00EB3356" w:rsidRPr="003F54E6">
          <w:rPr>
            <w:rStyle w:val="Hyperlink"/>
            <w:rFonts w:ascii="Arial" w:hAnsi="Arial" w:cs="Arial"/>
            <w:sz w:val="22"/>
          </w:rPr>
          <w:t>https://www.ohchr.org/EN/HRBodies/HRC/RegularSessions/Session30/Documents/A_HRC_30_43_ENG.docx</w:t>
        </w:r>
      </w:hyperlink>
      <w:r w:rsidR="00EB3356" w:rsidRPr="003F54E6">
        <w:rPr>
          <w:rFonts w:ascii="Arial" w:hAnsi="Arial" w:cs="Arial"/>
          <w:sz w:val="22"/>
        </w:rPr>
        <w:t xml:space="preserve"> [accessed: 25 January 2019].</w:t>
      </w:r>
    </w:p>
  </w:endnote>
  <w:endnote w:id="35">
    <w:p w:rsidR="001D527A" w:rsidRPr="009E77DD" w:rsidRDefault="001D527A">
      <w:pPr>
        <w:pStyle w:val="EndnoteText"/>
      </w:pPr>
      <w:r w:rsidRPr="003F54E6">
        <w:rPr>
          <w:rStyle w:val="EndnoteReference"/>
          <w:rFonts w:ascii="Arial" w:hAnsi="Arial" w:cs="Arial"/>
          <w:sz w:val="22"/>
        </w:rPr>
        <w:endnoteRef/>
      </w:r>
      <w:r w:rsidRPr="003F54E6">
        <w:rPr>
          <w:rFonts w:ascii="Arial" w:hAnsi="Arial" w:cs="Arial"/>
          <w:sz w:val="22"/>
        </w:rPr>
        <w:t xml:space="preserve"> ENNHRI (2017), ‘”We have the same rights”: The human rights of older persons in long-term care in Europe’, p. 77, available at: </w:t>
      </w:r>
      <w:hyperlink r:id="rId37" w:history="1">
        <w:r w:rsidRPr="003F54E6">
          <w:rPr>
            <w:rStyle w:val="Hyperlink"/>
            <w:rFonts w:ascii="Arial" w:hAnsi="Arial" w:cs="Arial"/>
            <w:sz w:val="22"/>
          </w:rPr>
          <w:t>http://www.ennhri.org/IMG/pdf/ennhri_hr_op_web.pdf</w:t>
        </w:r>
      </w:hyperlink>
      <w:r w:rsidRPr="003F54E6">
        <w:rPr>
          <w:sz w:val="22"/>
        </w:rPr>
        <w:t xml:space="preserve"> </w:t>
      </w:r>
      <w:r w:rsidR="00362DF2" w:rsidRPr="003F54E6">
        <w:rPr>
          <w:rFonts w:ascii="Arial" w:hAnsi="Arial" w:cs="Arial"/>
          <w:sz w:val="22"/>
        </w:rPr>
        <w:t>[accessed: 25 January 2019].</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3C" w:rsidRDefault="0034453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F54E6">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F54E6">
      <w:rPr>
        <w:noProof/>
        <w:color w:val="323E4F" w:themeColor="text2" w:themeShade="BF"/>
        <w:sz w:val="24"/>
        <w:szCs w:val="24"/>
      </w:rPr>
      <w:t>8</w:t>
    </w:r>
    <w:r>
      <w:rPr>
        <w:color w:val="323E4F" w:themeColor="text2" w:themeShade="BF"/>
        <w:sz w:val="24"/>
        <w:szCs w:val="24"/>
      </w:rPr>
      <w:fldChar w:fldCharType="end"/>
    </w:r>
  </w:p>
  <w:p w:rsidR="0034453C" w:rsidRDefault="00344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42" w:rsidRDefault="00401142" w:rsidP="00731019">
      <w:pPr>
        <w:spacing w:after="0" w:line="240" w:lineRule="auto"/>
      </w:pPr>
      <w:r>
        <w:separator/>
      </w:r>
    </w:p>
  </w:footnote>
  <w:footnote w:type="continuationSeparator" w:id="0">
    <w:p w:rsidR="00401142" w:rsidRDefault="00401142" w:rsidP="0073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3C" w:rsidRPr="0034453C" w:rsidRDefault="0034453C">
    <w:pPr>
      <w:pStyle w:val="Header"/>
      <w:rPr>
        <w:rFonts w:ascii="Arial" w:hAnsi="Arial" w:cs="Arial"/>
        <w:sz w:val="24"/>
        <w:szCs w:val="24"/>
      </w:rPr>
    </w:pPr>
    <w:r w:rsidRPr="0034453C">
      <w:rPr>
        <w:rFonts w:ascii="Arial" w:hAnsi="Arial" w:cs="Arial"/>
        <w:sz w:val="24"/>
        <w:szCs w:val="24"/>
      </w:rPr>
      <w:t>31 January 2019</w:t>
    </w:r>
  </w:p>
  <w:p w:rsidR="0034453C" w:rsidRDefault="0034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24A938A"/>
    <w:lvl w:ilvl="0">
      <w:numFmt w:val="bullet"/>
      <w:pStyle w:val="Bulletsbase"/>
      <w:lvlText w:val="•"/>
      <w:lvlJc w:val="left"/>
      <w:pPr>
        <w:ind w:hanging="284"/>
      </w:pPr>
      <w:rPr>
        <w:rFonts w:ascii="Arial" w:hAnsi="Arial"/>
        <w:b w:val="0"/>
        <w:color w:val="39525B"/>
        <w:sz w:val="24"/>
      </w:rPr>
    </w:lvl>
    <w:lvl w:ilvl="1">
      <w:numFmt w:val="bullet"/>
      <w:pStyle w:val="Bulletssub-last"/>
      <w:lvlText w:val="–"/>
      <w:lvlJc w:val="left"/>
      <w:pPr>
        <w:ind w:hanging="284"/>
      </w:pPr>
      <w:rPr>
        <w:rFonts w:ascii="Arial" w:hAnsi="Arial"/>
        <w:b w:val="0"/>
        <w:color w:val="39525B"/>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871D9D"/>
    <w:multiLevelType w:val="hybridMultilevel"/>
    <w:tmpl w:val="A178F598"/>
    <w:lvl w:ilvl="0" w:tplc="896466F8">
      <w:start w:val="2"/>
      <w:numFmt w:val="bullet"/>
      <w:lvlText w:val=""/>
      <w:lvlJc w:val="left"/>
      <w:pPr>
        <w:ind w:left="360" w:hanging="360"/>
      </w:pPr>
      <w:rPr>
        <w:rFonts w:ascii="Symbol" w:eastAsiaTheme="minorHAnsi" w:hAnsi="Symbo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042E5C"/>
    <w:multiLevelType w:val="hybridMultilevel"/>
    <w:tmpl w:val="4E6CEF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5B58E5"/>
    <w:multiLevelType w:val="hybridMultilevel"/>
    <w:tmpl w:val="3104E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E33E6"/>
    <w:multiLevelType w:val="hybridMultilevel"/>
    <w:tmpl w:val="301E48AA"/>
    <w:lvl w:ilvl="0" w:tplc="A2D0AD6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483363"/>
    <w:multiLevelType w:val="hybridMultilevel"/>
    <w:tmpl w:val="E3CEEFD8"/>
    <w:lvl w:ilvl="0" w:tplc="485A2ABC">
      <w:start w:val="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BA2AB7"/>
    <w:multiLevelType w:val="hybridMultilevel"/>
    <w:tmpl w:val="5622CA2C"/>
    <w:lvl w:ilvl="0" w:tplc="597418A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0A4A52"/>
    <w:multiLevelType w:val="hybridMultilevel"/>
    <w:tmpl w:val="0F1AC554"/>
    <w:lvl w:ilvl="0" w:tplc="BB9C07C0">
      <w:start w:val="1"/>
      <w:numFmt w:val="upperLetter"/>
      <w:lvlText w:val="%1."/>
      <w:lvlJc w:val="left"/>
      <w:pPr>
        <w:ind w:left="360" w:hanging="360"/>
      </w:pPr>
      <w:rPr>
        <w:rFonts w:hint="default"/>
        <w:b w:val="0"/>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394965"/>
    <w:multiLevelType w:val="hybridMultilevel"/>
    <w:tmpl w:val="7F207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90B99"/>
    <w:multiLevelType w:val="hybridMultilevel"/>
    <w:tmpl w:val="36DE5A5C"/>
    <w:lvl w:ilvl="0" w:tplc="2D70A56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7"/>
  </w:num>
  <w:num w:numId="5">
    <w:abstractNumId w:val="5"/>
  </w:num>
  <w:num w:numId="6">
    <w:abstractNumId w:val="2"/>
  </w:num>
  <w:num w:numId="7">
    <w:abstractNumId w:val="8"/>
  </w:num>
  <w:num w:numId="8">
    <w:abstractNumId w:val="0"/>
  </w:num>
  <w:num w:numId="9">
    <w:abstractNumId w:val="6"/>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5F"/>
    <w:rsid w:val="00000E4C"/>
    <w:rsid w:val="00004592"/>
    <w:rsid w:val="00005F3D"/>
    <w:rsid w:val="00006A56"/>
    <w:rsid w:val="00014A68"/>
    <w:rsid w:val="00017416"/>
    <w:rsid w:val="000224C9"/>
    <w:rsid w:val="00023273"/>
    <w:rsid w:val="00033D95"/>
    <w:rsid w:val="00040E9C"/>
    <w:rsid w:val="00044502"/>
    <w:rsid w:val="00051572"/>
    <w:rsid w:val="00051EF5"/>
    <w:rsid w:val="00052892"/>
    <w:rsid w:val="0005797D"/>
    <w:rsid w:val="000579C6"/>
    <w:rsid w:val="000605BC"/>
    <w:rsid w:val="000623D8"/>
    <w:rsid w:val="00062620"/>
    <w:rsid w:val="00063177"/>
    <w:rsid w:val="00074813"/>
    <w:rsid w:val="00082565"/>
    <w:rsid w:val="00086162"/>
    <w:rsid w:val="00093C54"/>
    <w:rsid w:val="000A54EF"/>
    <w:rsid w:val="000B1D66"/>
    <w:rsid w:val="000B25B3"/>
    <w:rsid w:val="000B38A4"/>
    <w:rsid w:val="000C76A8"/>
    <w:rsid w:val="000E1AE0"/>
    <w:rsid w:val="000E2D5C"/>
    <w:rsid w:val="000E4A5A"/>
    <w:rsid w:val="000F0B52"/>
    <w:rsid w:val="000F70DF"/>
    <w:rsid w:val="000F7CA4"/>
    <w:rsid w:val="00112E5C"/>
    <w:rsid w:val="00113CD2"/>
    <w:rsid w:val="00116A87"/>
    <w:rsid w:val="00131E57"/>
    <w:rsid w:val="00131F22"/>
    <w:rsid w:val="00133073"/>
    <w:rsid w:val="00134269"/>
    <w:rsid w:val="00135687"/>
    <w:rsid w:val="00135AE4"/>
    <w:rsid w:val="001418F4"/>
    <w:rsid w:val="00142B59"/>
    <w:rsid w:val="00144B4C"/>
    <w:rsid w:val="00144E80"/>
    <w:rsid w:val="00146706"/>
    <w:rsid w:val="00150029"/>
    <w:rsid w:val="00153D0B"/>
    <w:rsid w:val="00160B30"/>
    <w:rsid w:val="00161C36"/>
    <w:rsid w:val="00161C39"/>
    <w:rsid w:val="001626F7"/>
    <w:rsid w:val="001643E3"/>
    <w:rsid w:val="00167626"/>
    <w:rsid w:val="001726B7"/>
    <w:rsid w:val="001757DC"/>
    <w:rsid w:val="00175B90"/>
    <w:rsid w:val="0017793F"/>
    <w:rsid w:val="0018154B"/>
    <w:rsid w:val="00182D17"/>
    <w:rsid w:val="001832C1"/>
    <w:rsid w:val="00184E31"/>
    <w:rsid w:val="001902E9"/>
    <w:rsid w:val="0019415C"/>
    <w:rsid w:val="00195F89"/>
    <w:rsid w:val="001A15DB"/>
    <w:rsid w:val="001A3C21"/>
    <w:rsid w:val="001A69C9"/>
    <w:rsid w:val="001A6CD9"/>
    <w:rsid w:val="001B29EC"/>
    <w:rsid w:val="001B7AB2"/>
    <w:rsid w:val="001D05AE"/>
    <w:rsid w:val="001D0812"/>
    <w:rsid w:val="001D3E19"/>
    <w:rsid w:val="001D527A"/>
    <w:rsid w:val="001D5DD1"/>
    <w:rsid w:val="001D6DEF"/>
    <w:rsid w:val="001E18EE"/>
    <w:rsid w:val="001E5EDB"/>
    <w:rsid w:val="001E612E"/>
    <w:rsid w:val="001E72B7"/>
    <w:rsid w:val="001F03DB"/>
    <w:rsid w:val="001F352F"/>
    <w:rsid w:val="001F3EEE"/>
    <w:rsid w:val="001F49A1"/>
    <w:rsid w:val="001F6723"/>
    <w:rsid w:val="001F6C28"/>
    <w:rsid w:val="00200E38"/>
    <w:rsid w:val="0020124C"/>
    <w:rsid w:val="00203847"/>
    <w:rsid w:val="00203D77"/>
    <w:rsid w:val="0021064A"/>
    <w:rsid w:val="00214995"/>
    <w:rsid w:val="002207FA"/>
    <w:rsid w:val="002414FB"/>
    <w:rsid w:val="0024166B"/>
    <w:rsid w:val="0024282A"/>
    <w:rsid w:val="00242895"/>
    <w:rsid w:val="002461C5"/>
    <w:rsid w:val="00247A08"/>
    <w:rsid w:val="00251954"/>
    <w:rsid w:val="00252C52"/>
    <w:rsid w:val="002579D0"/>
    <w:rsid w:val="00264FBC"/>
    <w:rsid w:val="00267D4C"/>
    <w:rsid w:val="00270DBC"/>
    <w:rsid w:val="00272E35"/>
    <w:rsid w:val="00273962"/>
    <w:rsid w:val="00280FBE"/>
    <w:rsid w:val="002847FC"/>
    <w:rsid w:val="002863E6"/>
    <w:rsid w:val="0029072D"/>
    <w:rsid w:val="00297ACC"/>
    <w:rsid w:val="002A00C6"/>
    <w:rsid w:val="002B51A5"/>
    <w:rsid w:val="002C0C08"/>
    <w:rsid w:val="002D12CB"/>
    <w:rsid w:val="002D3A33"/>
    <w:rsid w:val="002E1DAC"/>
    <w:rsid w:val="002E256C"/>
    <w:rsid w:val="002E7278"/>
    <w:rsid w:val="002F2BDE"/>
    <w:rsid w:val="002F5AA5"/>
    <w:rsid w:val="003004D4"/>
    <w:rsid w:val="0030710A"/>
    <w:rsid w:val="00307A42"/>
    <w:rsid w:val="00307CE9"/>
    <w:rsid w:val="00310AFD"/>
    <w:rsid w:val="00311A9C"/>
    <w:rsid w:val="00314188"/>
    <w:rsid w:val="00316C74"/>
    <w:rsid w:val="00316DCA"/>
    <w:rsid w:val="00322202"/>
    <w:rsid w:val="003255D7"/>
    <w:rsid w:val="00330110"/>
    <w:rsid w:val="003418CF"/>
    <w:rsid w:val="00342E9C"/>
    <w:rsid w:val="0034453C"/>
    <w:rsid w:val="003521E3"/>
    <w:rsid w:val="0035494A"/>
    <w:rsid w:val="003624BB"/>
    <w:rsid w:val="00362DF2"/>
    <w:rsid w:val="00363D27"/>
    <w:rsid w:val="00363FDF"/>
    <w:rsid w:val="00364151"/>
    <w:rsid w:val="00364E29"/>
    <w:rsid w:val="0036698A"/>
    <w:rsid w:val="003678B8"/>
    <w:rsid w:val="00370D73"/>
    <w:rsid w:val="00382531"/>
    <w:rsid w:val="00385959"/>
    <w:rsid w:val="00387A4B"/>
    <w:rsid w:val="00391C02"/>
    <w:rsid w:val="003950E7"/>
    <w:rsid w:val="0039602A"/>
    <w:rsid w:val="003A07D3"/>
    <w:rsid w:val="003A1163"/>
    <w:rsid w:val="003A3016"/>
    <w:rsid w:val="003B2159"/>
    <w:rsid w:val="003B2592"/>
    <w:rsid w:val="003B6896"/>
    <w:rsid w:val="003C4DED"/>
    <w:rsid w:val="003C50A7"/>
    <w:rsid w:val="003C7E70"/>
    <w:rsid w:val="003D31FC"/>
    <w:rsid w:val="003D4EE0"/>
    <w:rsid w:val="003E4A04"/>
    <w:rsid w:val="003E5764"/>
    <w:rsid w:val="003E6840"/>
    <w:rsid w:val="003F2EC3"/>
    <w:rsid w:val="003F45D2"/>
    <w:rsid w:val="003F54E6"/>
    <w:rsid w:val="00401142"/>
    <w:rsid w:val="00401799"/>
    <w:rsid w:val="004026CA"/>
    <w:rsid w:val="00402B72"/>
    <w:rsid w:val="00405548"/>
    <w:rsid w:val="00410AF2"/>
    <w:rsid w:val="00411659"/>
    <w:rsid w:val="0041352B"/>
    <w:rsid w:val="00422FC4"/>
    <w:rsid w:val="00425353"/>
    <w:rsid w:val="00435786"/>
    <w:rsid w:val="0044439C"/>
    <w:rsid w:val="00460122"/>
    <w:rsid w:val="00460440"/>
    <w:rsid w:val="004658AC"/>
    <w:rsid w:val="00474456"/>
    <w:rsid w:val="00474673"/>
    <w:rsid w:val="00486B5D"/>
    <w:rsid w:val="00487E06"/>
    <w:rsid w:val="00497EFD"/>
    <w:rsid w:val="004A19DC"/>
    <w:rsid w:val="004B3368"/>
    <w:rsid w:val="004B48FE"/>
    <w:rsid w:val="004C3FB8"/>
    <w:rsid w:val="004D230D"/>
    <w:rsid w:val="004D74F7"/>
    <w:rsid w:val="004E2D19"/>
    <w:rsid w:val="004E4F1F"/>
    <w:rsid w:val="004F10AE"/>
    <w:rsid w:val="00501C2D"/>
    <w:rsid w:val="00502F56"/>
    <w:rsid w:val="00504BCC"/>
    <w:rsid w:val="005075E2"/>
    <w:rsid w:val="00511BDF"/>
    <w:rsid w:val="005227EA"/>
    <w:rsid w:val="00524303"/>
    <w:rsid w:val="00526FD1"/>
    <w:rsid w:val="00530B05"/>
    <w:rsid w:val="00534799"/>
    <w:rsid w:val="005410DE"/>
    <w:rsid w:val="00541F32"/>
    <w:rsid w:val="0054567B"/>
    <w:rsid w:val="00551A64"/>
    <w:rsid w:val="00562BB8"/>
    <w:rsid w:val="00566914"/>
    <w:rsid w:val="0057036C"/>
    <w:rsid w:val="005732BF"/>
    <w:rsid w:val="00574F0B"/>
    <w:rsid w:val="00576139"/>
    <w:rsid w:val="005805A2"/>
    <w:rsid w:val="005811FB"/>
    <w:rsid w:val="00581DE4"/>
    <w:rsid w:val="00582193"/>
    <w:rsid w:val="00591042"/>
    <w:rsid w:val="0059511F"/>
    <w:rsid w:val="00596C43"/>
    <w:rsid w:val="005A2C46"/>
    <w:rsid w:val="005C032A"/>
    <w:rsid w:val="005C0AFB"/>
    <w:rsid w:val="005C709B"/>
    <w:rsid w:val="005C76BF"/>
    <w:rsid w:val="005D407A"/>
    <w:rsid w:val="005D5135"/>
    <w:rsid w:val="005E4626"/>
    <w:rsid w:val="005E52D3"/>
    <w:rsid w:val="005E5938"/>
    <w:rsid w:val="005E6220"/>
    <w:rsid w:val="006051A5"/>
    <w:rsid w:val="00605278"/>
    <w:rsid w:val="00606151"/>
    <w:rsid w:val="00606204"/>
    <w:rsid w:val="006105C5"/>
    <w:rsid w:val="00617F66"/>
    <w:rsid w:val="00620932"/>
    <w:rsid w:val="00637B50"/>
    <w:rsid w:val="00641295"/>
    <w:rsid w:val="00645DA7"/>
    <w:rsid w:val="00651454"/>
    <w:rsid w:val="006541C0"/>
    <w:rsid w:val="00660475"/>
    <w:rsid w:val="00660A20"/>
    <w:rsid w:val="00662CC7"/>
    <w:rsid w:val="00672B16"/>
    <w:rsid w:val="0067765B"/>
    <w:rsid w:val="0068214F"/>
    <w:rsid w:val="006869AD"/>
    <w:rsid w:val="00692EE9"/>
    <w:rsid w:val="006A46F8"/>
    <w:rsid w:val="006A6982"/>
    <w:rsid w:val="006B00E3"/>
    <w:rsid w:val="006B72F9"/>
    <w:rsid w:val="006C15F3"/>
    <w:rsid w:val="006D080C"/>
    <w:rsid w:val="006D3AB3"/>
    <w:rsid w:val="006D5B86"/>
    <w:rsid w:val="006D642C"/>
    <w:rsid w:val="006D75FE"/>
    <w:rsid w:val="006E3F87"/>
    <w:rsid w:val="006F182A"/>
    <w:rsid w:val="006F7172"/>
    <w:rsid w:val="007070A1"/>
    <w:rsid w:val="00710CD1"/>
    <w:rsid w:val="007164FA"/>
    <w:rsid w:val="00717E8D"/>
    <w:rsid w:val="00721B2D"/>
    <w:rsid w:val="00722649"/>
    <w:rsid w:val="0072401C"/>
    <w:rsid w:val="007245A2"/>
    <w:rsid w:val="00731019"/>
    <w:rsid w:val="00736B3D"/>
    <w:rsid w:val="00737C90"/>
    <w:rsid w:val="00744669"/>
    <w:rsid w:val="00745985"/>
    <w:rsid w:val="0076078A"/>
    <w:rsid w:val="0076236F"/>
    <w:rsid w:val="0076276E"/>
    <w:rsid w:val="00772B96"/>
    <w:rsid w:val="00773DB8"/>
    <w:rsid w:val="00777CED"/>
    <w:rsid w:val="007845A7"/>
    <w:rsid w:val="0079149E"/>
    <w:rsid w:val="00792E74"/>
    <w:rsid w:val="007A0ACF"/>
    <w:rsid w:val="007A0C40"/>
    <w:rsid w:val="007A366F"/>
    <w:rsid w:val="007B61F5"/>
    <w:rsid w:val="007D4141"/>
    <w:rsid w:val="007D4FA7"/>
    <w:rsid w:val="007E4E05"/>
    <w:rsid w:val="007F1089"/>
    <w:rsid w:val="007F1E76"/>
    <w:rsid w:val="007F5918"/>
    <w:rsid w:val="00812CAF"/>
    <w:rsid w:val="00813622"/>
    <w:rsid w:val="00814622"/>
    <w:rsid w:val="00815F44"/>
    <w:rsid w:val="00834467"/>
    <w:rsid w:val="00836CE2"/>
    <w:rsid w:val="00837998"/>
    <w:rsid w:val="00842FE9"/>
    <w:rsid w:val="00846404"/>
    <w:rsid w:val="00846530"/>
    <w:rsid w:val="00846880"/>
    <w:rsid w:val="00850A51"/>
    <w:rsid w:val="00851C68"/>
    <w:rsid w:val="00852518"/>
    <w:rsid w:val="00853972"/>
    <w:rsid w:val="00865A43"/>
    <w:rsid w:val="00865D81"/>
    <w:rsid w:val="00866A8B"/>
    <w:rsid w:val="008720B3"/>
    <w:rsid w:val="008722B0"/>
    <w:rsid w:val="0087266C"/>
    <w:rsid w:val="008758D4"/>
    <w:rsid w:val="0089258E"/>
    <w:rsid w:val="00895DB9"/>
    <w:rsid w:val="00895FDF"/>
    <w:rsid w:val="00896FD6"/>
    <w:rsid w:val="008A04EC"/>
    <w:rsid w:val="008C562A"/>
    <w:rsid w:val="008D317D"/>
    <w:rsid w:val="008D57F3"/>
    <w:rsid w:val="008E3F65"/>
    <w:rsid w:val="008E5DF3"/>
    <w:rsid w:val="008E6B80"/>
    <w:rsid w:val="008E6D3B"/>
    <w:rsid w:val="008E7454"/>
    <w:rsid w:val="008F2E2B"/>
    <w:rsid w:val="008F589D"/>
    <w:rsid w:val="008F5C8E"/>
    <w:rsid w:val="008F7558"/>
    <w:rsid w:val="00910719"/>
    <w:rsid w:val="00911F01"/>
    <w:rsid w:val="0091253A"/>
    <w:rsid w:val="0091425C"/>
    <w:rsid w:val="00921A6E"/>
    <w:rsid w:val="0092336B"/>
    <w:rsid w:val="00930A90"/>
    <w:rsid w:val="00933B3E"/>
    <w:rsid w:val="009376BB"/>
    <w:rsid w:val="00941AD8"/>
    <w:rsid w:val="00942507"/>
    <w:rsid w:val="009464F8"/>
    <w:rsid w:val="009478FA"/>
    <w:rsid w:val="00947F44"/>
    <w:rsid w:val="00950524"/>
    <w:rsid w:val="009529B8"/>
    <w:rsid w:val="00956FC9"/>
    <w:rsid w:val="00965834"/>
    <w:rsid w:val="00973E3C"/>
    <w:rsid w:val="009806C5"/>
    <w:rsid w:val="0098352D"/>
    <w:rsid w:val="009872E0"/>
    <w:rsid w:val="00990E42"/>
    <w:rsid w:val="00991CEA"/>
    <w:rsid w:val="009A05B0"/>
    <w:rsid w:val="009A451C"/>
    <w:rsid w:val="009B041E"/>
    <w:rsid w:val="009B1774"/>
    <w:rsid w:val="009B2A4B"/>
    <w:rsid w:val="009B6F1C"/>
    <w:rsid w:val="009B7556"/>
    <w:rsid w:val="009B7DCA"/>
    <w:rsid w:val="009C064E"/>
    <w:rsid w:val="009C107A"/>
    <w:rsid w:val="009C5937"/>
    <w:rsid w:val="009C5AC8"/>
    <w:rsid w:val="009C60C8"/>
    <w:rsid w:val="009C7AF9"/>
    <w:rsid w:val="009D22B2"/>
    <w:rsid w:val="009D244B"/>
    <w:rsid w:val="009D3027"/>
    <w:rsid w:val="009D34D9"/>
    <w:rsid w:val="009D38C9"/>
    <w:rsid w:val="009D71D0"/>
    <w:rsid w:val="009E0EE8"/>
    <w:rsid w:val="009E5B62"/>
    <w:rsid w:val="009E77DD"/>
    <w:rsid w:val="009F62E3"/>
    <w:rsid w:val="00A011E7"/>
    <w:rsid w:val="00A062ED"/>
    <w:rsid w:val="00A074F3"/>
    <w:rsid w:val="00A1145D"/>
    <w:rsid w:val="00A14C08"/>
    <w:rsid w:val="00A17561"/>
    <w:rsid w:val="00A176F0"/>
    <w:rsid w:val="00A25A89"/>
    <w:rsid w:val="00A27B86"/>
    <w:rsid w:val="00A33796"/>
    <w:rsid w:val="00A33AF4"/>
    <w:rsid w:val="00A35361"/>
    <w:rsid w:val="00A41F4D"/>
    <w:rsid w:val="00A4468A"/>
    <w:rsid w:val="00A47555"/>
    <w:rsid w:val="00A566D1"/>
    <w:rsid w:val="00A6290B"/>
    <w:rsid w:val="00A630AF"/>
    <w:rsid w:val="00A63EDB"/>
    <w:rsid w:val="00A7545F"/>
    <w:rsid w:val="00A76104"/>
    <w:rsid w:val="00A802D8"/>
    <w:rsid w:val="00A83D45"/>
    <w:rsid w:val="00A859F7"/>
    <w:rsid w:val="00A9082A"/>
    <w:rsid w:val="00A9463F"/>
    <w:rsid w:val="00A970F7"/>
    <w:rsid w:val="00AA5994"/>
    <w:rsid w:val="00AA62D6"/>
    <w:rsid w:val="00AB3E41"/>
    <w:rsid w:val="00AB6A6E"/>
    <w:rsid w:val="00AC2380"/>
    <w:rsid w:val="00AC2477"/>
    <w:rsid w:val="00AD020A"/>
    <w:rsid w:val="00AD0B2C"/>
    <w:rsid w:val="00AD218A"/>
    <w:rsid w:val="00AD57BD"/>
    <w:rsid w:val="00AD5864"/>
    <w:rsid w:val="00AD5D34"/>
    <w:rsid w:val="00AE0BA0"/>
    <w:rsid w:val="00AE3CE5"/>
    <w:rsid w:val="00AE5211"/>
    <w:rsid w:val="00AF0E99"/>
    <w:rsid w:val="00AF155E"/>
    <w:rsid w:val="00AF471D"/>
    <w:rsid w:val="00AF5182"/>
    <w:rsid w:val="00B0283F"/>
    <w:rsid w:val="00B04086"/>
    <w:rsid w:val="00B04764"/>
    <w:rsid w:val="00B07435"/>
    <w:rsid w:val="00B11051"/>
    <w:rsid w:val="00B24BB5"/>
    <w:rsid w:val="00B24C79"/>
    <w:rsid w:val="00B26AD0"/>
    <w:rsid w:val="00B41897"/>
    <w:rsid w:val="00B41C46"/>
    <w:rsid w:val="00B43385"/>
    <w:rsid w:val="00B51B3D"/>
    <w:rsid w:val="00B5519C"/>
    <w:rsid w:val="00B714D3"/>
    <w:rsid w:val="00B717E1"/>
    <w:rsid w:val="00B76C3A"/>
    <w:rsid w:val="00B80802"/>
    <w:rsid w:val="00B80B5C"/>
    <w:rsid w:val="00B8486C"/>
    <w:rsid w:val="00B92719"/>
    <w:rsid w:val="00B92C74"/>
    <w:rsid w:val="00B957B1"/>
    <w:rsid w:val="00BA24C6"/>
    <w:rsid w:val="00BB26DE"/>
    <w:rsid w:val="00BB3AA1"/>
    <w:rsid w:val="00BB7AFC"/>
    <w:rsid w:val="00BC270E"/>
    <w:rsid w:val="00BD113F"/>
    <w:rsid w:val="00BD236F"/>
    <w:rsid w:val="00BD2F6C"/>
    <w:rsid w:val="00BD6509"/>
    <w:rsid w:val="00BD7B5D"/>
    <w:rsid w:val="00BE1AE7"/>
    <w:rsid w:val="00BE1B68"/>
    <w:rsid w:val="00BE6F4D"/>
    <w:rsid w:val="00BF0C38"/>
    <w:rsid w:val="00BF2F0A"/>
    <w:rsid w:val="00BF6A1D"/>
    <w:rsid w:val="00BF708F"/>
    <w:rsid w:val="00C04DF5"/>
    <w:rsid w:val="00C069D0"/>
    <w:rsid w:val="00C078ED"/>
    <w:rsid w:val="00C23113"/>
    <w:rsid w:val="00C2395F"/>
    <w:rsid w:val="00C31126"/>
    <w:rsid w:val="00C3313E"/>
    <w:rsid w:val="00C333ED"/>
    <w:rsid w:val="00C34533"/>
    <w:rsid w:val="00C3535F"/>
    <w:rsid w:val="00C40588"/>
    <w:rsid w:val="00C41B63"/>
    <w:rsid w:val="00C4783A"/>
    <w:rsid w:val="00C5282A"/>
    <w:rsid w:val="00C62026"/>
    <w:rsid w:val="00C65CFB"/>
    <w:rsid w:val="00C66907"/>
    <w:rsid w:val="00C66F4F"/>
    <w:rsid w:val="00C83185"/>
    <w:rsid w:val="00C9103A"/>
    <w:rsid w:val="00C9268C"/>
    <w:rsid w:val="00CA2A43"/>
    <w:rsid w:val="00CA4773"/>
    <w:rsid w:val="00CA4E31"/>
    <w:rsid w:val="00CA710E"/>
    <w:rsid w:val="00CB6B07"/>
    <w:rsid w:val="00CB7678"/>
    <w:rsid w:val="00CB7844"/>
    <w:rsid w:val="00CC1B02"/>
    <w:rsid w:val="00CC7271"/>
    <w:rsid w:val="00CD14E1"/>
    <w:rsid w:val="00CE5A10"/>
    <w:rsid w:val="00CF191F"/>
    <w:rsid w:val="00CF47F8"/>
    <w:rsid w:val="00CF4D14"/>
    <w:rsid w:val="00D041C6"/>
    <w:rsid w:val="00D058DF"/>
    <w:rsid w:val="00D0654F"/>
    <w:rsid w:val="00D10C4B"/>
    <w:rsid w:val="00D1402F"/>
    <w:rsid w:val="00D15242"/>
    <w:rsid w:val="00D2259F"/>
    <w:rsid w:val="00D239C5"/>
    <w:rsid w:val="00D309D1"/>
    <w:rsid w:val="00D3220C"/>
    <w:rsid w:val="00D36E12"/>
    <w:rsid w:val="00D410B8"/>
    <w:rsid w:val="00D423BE"/>
    <w:rsid w:val="00D432E9"/>
    <w:rsid w:val="00D436D9"/>
    <w:rsid w:val="00D46ADA"/>
    <w:rsid w:val="00D60056"/>
    <w:rsid w:val="00D65E59"/>
    <w:rsid w:val="00D662C1"/>
    <w:rsid w:val="00D75FB5"/>
    <w:rsid w:val="00D8304D"/>
    <w:rsid w:val="00D87081"/>
    <w:rsid w:val="00D92149"/>
    <w:rsid w:val="00DA617F"/>
    <w:rsid w:val="00DB0163"/>
    <w:rsid w:val="00DB0E94"/>
    <w:rsid w:val="00DB417B"/>
    <w:rsid w:val="00DB5BA8"/>
    <w:rsid w:val="00DB629B"/>
    <w:rsid w:val="00DB6FD4"/>
    <w:rsid w:val="00DC1456"/>
    <w:rsid w:val="00DD1B32"/>
    <w:rsid w:val="00DD545A"/>
    <w:rsid w:val="00DD6EF0"/>
    <w:rsid w:val="00DF05D5"/>
    <w:rsid w:val="00DF1294"/>
    <w:rsid w:val="00DF1374"/>
    <w:rsid w:val="00DF24F6"/>
    <w:rsid w:val="00DF2F89"/>
    <w:rsid w:val="00DF74E7"/>
    <w:rsid w:val="00E016B4"/>
    <w:rsid w:val="00E07E75"/>
    <w:rsid w:val="00E11055"/>
    <w:rsid w:val="00E1246E"/>
    <w:rsid w:val="00E14C2A"/>
    <w:rsid w:val="00E172A9"/>
    <w:rsid w:val="00E2038B"/>
    <w:rsid w:val="00E3126A"/>
    <w:rsid w:val="00E31868"/>
    <w:rsid w:val="00E33324"/>
    <w:rsid w:val="00E41B96"/>
    <w:rsid w:val="00E44A74"/>
    <w:rsid w:val="00E465E1"/>
    <w:rsid w:val="00E5216B"/>
    <w:rsid w:val="00E536E5"/>
    <w:rsid w:val="00E53BB0"/>
    <w:rsid w:val="00E53CFF"/>
    <w:rsid w:val="00E71D07"/>
    <w:rsid w:val="00E75A4B"/>
    <w:rsid w:val="00E82DEB"/>
    <w:rsid w:val="00E844C7"/>
    <w:rsid w:val="00E95D49"/>
    <w:rsid w:val="00E9664F"/>
    <w:rsid w:val="00E97300"/>
    <w:rsid w:val="00EA57B7"/>
    <w:rsid w:val="00EB07A0"/>
    <w:rsid w:val="00EB1419"/>
    <w:rsid w:val="00EB1F66"/>
    <w:rsid w:val="00EB3356"/>
    <w:rsid w:val="00EB3CC1"/>
    <w:rsid w:val="00EB6740"/>
    <w:rsid w:val="00EB7F63"/>
    <w:rsid w:val="00EC0B8F"/>
    <w:rsid w:val="00EC2E4C"/>
    <w:rsid w:val="00EC7FDC"/>
    <w:rsid w:val="00ED7A82"/>
    <w:rsid w:val="00EE18CC"/>
    <w:rsid w:val="00EE2843"/>
    <w:rsid w:val="00EE2860"/>
    <w:rsid w:val="00EE3B75"/>
    <w:rsid w:val="00EE5069"/>
    <w:rsid w:val="00F05520"/>
    <w:rsid w:val="00F05732"/>
    <w:rsid w:val="00F05CA0"/>
    <w:rsid w:val="00F07510"/>
    <w:rsid w:val="00F13AE3"/>
    <w:rsid w:val="00F14E9E"/>
    <w:rsid w:val="00F15748"/>
    <w:rsid w:val="00F16A18"/>
    <w:rsid w:val="00F16C10"/>
    <w:rsid w:val="00F24FD9"/>
    <w:rsid w:val="00F31000"/>
    <w:rsid w:val="00F36BDF"/>
    <w:rsid w:val="00F40B32"/>
    <w:rsid w:val="00F452A1"/>
    <w:rsid w:val="00F52380"/>
    <w:rsid w:val="00F54770"/>
    <w:rsid w:val="00F6742B"/>
    <w:rsid w:val="00F70557"/>
    <w:rsid w:val="00F73F01"/>
    <w:rsid w:val="00F80F01"/>
    <w:rsid w:val="00F8331F"/>
    <w:rsid w:val="00F94358"/>
    <w:rsid w:val="00F95B07"/>
    <w:rsid w:val="00F95B3A"/>
    <w:rsid w:val="00F974EE"/>
    <w:rsid w:val="00F9799C"/>
    <w:rsid w:val="00FA073F"/>
    <w:rsid w:val="00FA6B3E"/>
    <w:rsid w:val="00FB1564"/>
    <w:rsid w:val="00FB2CE1"/>
    <w:rsid w:val="00FB7156"/>
    <w:rsid w:val="00FC28FD"/>
    <w:rsid w:val="00FC588D"/>
    <w:rsid w:val="00FC7395"/>
    <w:rsid w:val="00FC7AEA"/>
    <w:rsid w:val="00FE201B"/>
    <w:rsid w:val="00FE58B1"/>
    <w:rsid w:val="00FE6667"/>
    <w:rsid w:val="00FF0184"/>
    <w:rsid w:val="00FF28A5"/>
    <w:rsid w:val="00FF3DB1"/>
    <w:rsid w:val="00FF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78D20"/>
  <w15:chartTrackingRefBased/>
  <w15:docId w15:val="{E08E4545-5CCC-4D8B-A028-E090E8F4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3D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8">
    <w:name w:val="heading 8"/>
    <w:basedOn w:val="Normal"/>
    <w:next w:val="Normal"/>
    <w:link w:val="Heading8Char"/>
    <w:uiPriority w:val="9"/>
    <w:semiHidden/>
    <w:unhideWhenUsed/>
    <w:qFormat/>
    <w:rsid w:val="003004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E12"/>
    <w:pPr>
      <w:ind w:left="720"/>
      <w:contextualSpacing/>
    </w:pPr>
  </w:style>
  <w:style w:type="character" w:customStyle="1" w:styleId="Heading2Char">
    <w:name w:val="Heading 2 Char"/>
    <w:basedOn w:val="DefaultParagraphFont"/>
    <w:link w:val="Heading2"/>
    <w:uiPriority w:val="9"/>
    <w:rsid w:val="00153D0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53D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731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019"/>
    <w:rPr>
      <w:sz w:val="20"/>
      <w:szCs w:val="20"/>
    </w:rPr>
  </w:style>
  <w:style w:type="character" w:styleId="EndnoteReference">
    <w:name w:val="endnote reference"/>
    <w:basedOn w:val="DefaultParagraphFont"/>
    <w:uiPriority w:val="99"/>
    <w:semiHidden/>
    <w:unhideWhenUsed/>
    <w:rsid w:val="00731019"/>
    <w:rPr>
      <w:vertAlign w:val="superscript"/>
    </w:rPr>
  </w:style>
  <w:style w:type="paragraph" w:customStyle="1" w:styleId="Default">
    <w:name w:val="Default"/>
    <w:basedOn w:val="Normal"/>
    <w:rsid w:val="00731019"/>
    <w:pPr>
      <w:autoSpaceDE w:val="0"/>
      <w:autoSpaceDN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05A2"/>
    <w:rPr>
      <w:sz w:val="16"/>
      <w:szCs w:val="16"/>
    </w:rPr>
  </w:style>
  <w:style w:type="paragraph" w:styleId="CommentText">
    <w:name w:val="annotation text"/>
    <w:basedOn w:val="Normal"/>
    <w:link w:val="CommentTextChar"/>
    <w:uiPriority w:val="99"/>
    <w:unhideWhenUsed/>
    <w:rsid w:val="005805A2"/>
    <w:pPr>
      <w:spacing w:line="240" w:lineRule="auto"/>
    </w:pPr>
    <w:rPr>
      <w:sz w:val="20"/>
      <w:szCs w:val="20"/>
    </w:rPr>
  </w:style>
  <w:style w:type="character" w:customStyle="1" w:styleId="CommentTextChar">
    <w:name w:val="Comment Text Char"/>
    <w:basedOn w:val="DefaultParagraphFont"/>
    <w:link w:val="CommentText"/>
    <w:uiPriority w:val="99"/>
    <w:rsid w:val="005805A2"/>
    <w:rPr>
      <w:sz w:val="20"/>
      <w:szCs w:val="20"/>
    </w:rPr>
  </w:style>
  <w:style w:type="paragraph" w:styleId="CommentSubject">
    <w:name w:val="annotation subject"/>
    <w:basedOn w:val="CommentText"/>
    <w:next w:val="CommentText"/>
    <w:link w:val="CommentSubjectChar"/>
    <w:uiPriority w:val="99"/>
    <w:semiHidden/>
    <w:unhideWhenUsed/>
    <w:rsid w:val="005805A2"/>
    <w:rPr>
      <w:b/>
      <w:bCs/>
    </w:rPr>
  </w:style>
  <w:style w:type="character" w:customStyle="1" w:styleId="CommentSubjectChar">
    <w:name w:val="Comment Subject Char"/>
    <w:basedOn w:val="CommentTextChar"/>
    <w:link w:val="CommentSubject"/>
    <w:uiPriority w:val="99"/>
    <w:semiHidden/>
    <w:rsid w:val="005805A2"/>
    <w:rPr>
      <w:b/>
      <w:bCs/>
      <w:sz w:val="20"/>
      <w:szCs w:val="20"/>
    </w:rPr>
  </w:style>
  <w:style w:type="paragraph" w:styleId="BalloonText">
    <w:name w:val="Balloon Text"/>
    <w:basedOn w:val="Normal"/>
    <w:link w:val="BalloonTextChar"/>
    <w:uiPriority w:val="99"/>
    <w:semiHidden/>
    <w:unhideWhenUsed/>
    <w:rsid w:val="00580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A2"/>
    <w:rPr>
      <w:rFonts w:ascii="Segoe UI" w:hAnsi="Segoe UI" w:cs="Segoe UI"/>
      <w:sz w:val="18"/>
      <w:szCs w:val="18"/>
    </w:rPr>
  </w:style>
  <w:style w:type="character" w:styleId="Strong">
    <w:name w:val="Strong"/>
    <w:basedOn w:val="DefaultParagraphFont"/>
    <w:uiPriority w:val="22"/>
    <w:qFormat/>
    <w:rsid w:val="00F05732"/>
    <w:rPr>
      <w:b/>
      <w:bCs/>
    </w:rPr>
  </w:style>
  <w:style w:type="paragraph" w:styleId="FootnoteText">
    <w:name w:val="footnote text"/>
    <w:basedOn w:val="Normal"/>
    <w:link w:val="FootnoteTextChar"/>
    <w:uiPriority w:val="99"/>
    <w:semiHidden/>
    <w:unhideWhenUsed/>
    <w:rsid w:val="009D2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2B2"/>
    <w:rPr>
      <w:sz w:val="20"/>
      <w:szCs w:val="20"/>
    </w:rPr>
  </w:style>
  <w:style w:type="character" w:styleId="FootnoteReference">
    <w:name w:val="footnote reference"/>
    <w:basedOn w:val="DefaultParagraphFont"/>
    <w:uiPriority w:val="99"/>
    <w:semiHidden/>
    <w:unhideWhenUsed/>
    <w:rsid w:val="009D22B2"/>
    <w:rPr>
      <w:vertAlign w:val="superscript"/>
    </w:rPr>
  </w:style>
  <w:style w:type="paragraph" w:styleId="Header">
    <w:name w:val="header"/>
    <w:basedOn w:val="Normal"/>
    <w:link w:val="HeaderChar"/>
    <w:uiPriority w:val="99"/>
    <w:unhideWhenUsed/>
    <w:rsid w:val="0084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404"/>
  </w:style>
  <w:style w:type="paragraph" w:styleId="Footer">
    <w:name w:val="footer"/>
    <w:basedOn w:val="Normal"/>
    <w:link w:val="FooterChar"/>
    <w:uiPriority w:val="99"/>
    <w:unhideWhenUsed/>
    <w:rsid w:val="0084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404"/>
  </w:style>
  <w:style w:type="character" w:styleId="Hyperlink">
    <w:name w:val="Hyperlink"/>
    <w:basedOn w:val="DefaultParagraphFont"/>
    <w:uiPriority w:val="99"/>
    <w:unhideWhenUsed/>
    <w:rsid w:val="00B41C46"/>
    <w:rPr>
      <w:color w:val="0563C1" w:themeColor="hyperlink"/>
      <w:u w:val="single"/>
    </w:rPr>
  </w:style>
  <w:style w:type="character" w:customStyle="1" w:styleId="Heading8Char">
    <w:name w:val="Heading 8 Char"/>
    <w:basedOn w:val="DefaultParagraphFont"/>
    <w:link w:val="Heading8"/>
    <w:uiPriority w:val="9"/>
    <w:semiHidden/>
    <w:rsid w:val="003004D4"/>
    <w:rPr>
      <w:rFonts w:asciiTheme="majorHAnsi" w:eastAsiaTheme="majorEastAsia" w:hAnsiTheme="majorHAnsi" w:cstheme="majorBidi"/>
      <w:color w:val="272727" w:themeColor="text1" w:themeTint="D8"/>
      <w:sz w:val="21"/>
      <w:szCs w:val="21"/>
    </w:rPr>
  </w:style>
  <w:style w:type="paragraph" w:customStyle="1" w:styleId="Bulletsbase">
    <w:name w:val="&gt; Bullets (base)"/>
    <w:basedOn w:val="BodyText"/>
    <w:uiPriority w:val="1"/>
    <w:qFormat/>
    <w:rsid w:val="00410AF2"/>
    <w:pPr>
      <w:widowControl w:val="0"/>
      <w:numPr>
        <w:numId w:val="8"/>
      </w:numPr>
      <w:tabs>
        <w:tab w:val="left" w:pos="340"/>
      </w:tabs>
      <w:kinsoku w:val="0"/>
      <w:overflowPunct w:val="0"/>
      <w:autoSpaceDE w:val="0"/>
      <w:autoSpaceDN w:val="0"/>
      <w:adjustRightInd w:val="0"/>
      <w:spacing w:after="40" w:line="312" w:lineRule="auto"/>
      <w:ind w:left="340" w:hanging="340"/>
    </w:pPr>
    <w:rPr>
      <w:rFonts w:ascii="Arial" w:eastAsia="Times New Roman" w:hAnsi="Arial" w:cs="Arial"/>
      <w:color w:val="39525B"/>
      <w:sz w:val="24"/>
      <w:szCs w:val="24"/>
      <w:lang w:eastAsia="en-GB"/>
    </w:rPr>
  </w:style>
  <w:style w:type="paragraph" w:customStyle="1" w:styleId="L4titles">
    <w:name w:val="&gt; L4 titles"/>
    <w:basedOn w:val="BodyText"/>
    <w:uiPriority w:val="1"/>
    <w:qFormat/>
    <w:rsid w:val="00410AF2"/>
    <w:pPr>
      <w:widowControl w:val="0"/>
      <w:kinsoku w:val="0"/>
      <w:overflowPunct w:val="0"/>
      <w:autoSpaceDE w:val="0"/>
      <w:autoSpaceDN w:val="0"/>
      <w:adjustRightInd w:val="0"/>
      <w:spacing w:after="100" w:line="312" w:lineRule="auto"/>
    </w:pPr>
    <w:rPr>
      <w:rFonts w:ascii="Arial Bold" w:eastAsia="Times New Roman" w:hAnsi="Arial Bold" w:cs="Arial"/>
      <w:b/>
      <w:color w:val="AB1E89"/>
      <w:spacing w:val="-3"/>
      <w:w w:val="105"/>
      <w:sz w:val="24"/>
      <w:szCs w:val="24"/>
      <w:lang w:eastAsia="en-GB"/>
    </w:rPr>
  </w:style>
  <w:style w:type="paragraph" w:customStyle="1" w:styleId="Parapre-bullets">
    <w:name w:val="&gt; Para (pre-bullets)"/>
    <w:basedOn w:val="Normal"/>
    <w:uiPriority w:val="1"/>
    <w:qFormat/>
    <w:rsid w:val="00410AF2"/>
    <w:pPr>
      <w:widowControl w:val="0"/>
      <w:kinsoku w:val="0"/>
      <w:overflowPunct w:val="0"/>
      <w:autoSpaceDE w:val="0"/>
      <w:autoSpaceDN w:val="0"/>
      <w:adjustRightInd w:val="0"/>
      <w:spacing w:after="80" w:line="312" w:lineRule="auto"/>
    </w:pPr>
    <w:rPr>
      <w:rFonts w:ascii="Arial" w:eastAsia="Times New Roman" w:hAnsi="Arial" w:cs="Arial"/>
      <w:color w:val="39525B"/>
      <w:sz w:val="24"/>
      <w:szCs w:val="24"/>
      <w:lang w:eastAsia="en-GB"/>
    </w:rPr>
  </w:style>
  <w:style w:type="paragraph" w:customStyle="1" w:styleId="Bulletssub-last">
    <w:name w:val="&gt; Bullets (sub-last)"/>
    <w:basedOn w:val="Bulletsbase"/>
    <w:uiPriority w:val="1"/>
    <w:qFormat/>
    <w:rsid w:val="00410AF2"/>
    <w:pPr>
      <w:numPr>
        <w:ilvl w:val="1"/>
      </w:numPr>
      <w:tabs>
        <w:tab w:val="clear" w:pos="340"/>
        <w:tab w:val="left" w:pos="680"/>
      </w:tabs>
      <w:spacing w:after="60"/>
      <w:ind w:left="680" w:hanging="360"/>
    </w:pPr>
  </w:style>
  <w:style w:type="paragraph" w:customStyle="1" w:styleId="BulletspreL4">
    <w:name w:val="&gt; Bullets pre L4"/>
    <w:basedOn w:val="Bulletsbase"/>
    <w:uiPriority w:val="1"/>
    <w:qFormat/>
    <w:rsid w:val="00410AF2"/>
    <w:pPr>
      <w:spacing w:after="360"/>
    </w:pPr>
  </w:style>
  <w:style w:type="paragraph" w:styleId="BodyText">
    <w:name w:val="Body Text"/>
    <w:basedOn w:val="Normal"/>
    <w:link w:val="BodyTextChar"/>
    <w:uiPriority w:val="99"/>
    <w:semiHidden/>
    <w:unhideWhenUsed/>
    <w:rsid w:val="00410AF2"/>
    <w:pPr>
      <w:spacing w:after="120"/>
    </w:pPr>
  </w:style>
  <w:style w:type="character" w:customStyle="1" w:styleId="BodyTextChar">
    <w:name w:val="Body Text Char"/>
    <w:basedOn w:val="DefaultParagraphFont"/>
    <w:link w:val="BodyText"/>
    <w:uiPriority w:val="99"/>
    <w:semiHidden/>
    <w:rsid w:val="00410AF2"/>
  </w:style>
  <w:style w:type="character" w:styleId="FollowedHyperlink">
    <w:name w:val="FollowedHyperlink"/>
    <w:basedOn w:val="DefaultParagraphFont"/>
    <w:uiPriority w:val="99"/>
    <w:semiHidden/>
    <w:unhideWhenUsed/>
    <w:rsid w:val="00EB7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209">
      <w:bodyDiv w:val="1"/>
      <w:marLeft w:val="0"/>
      <w:marRight w:val="0"/>
      <w:marTop w:val="0"/>
      <w:marBottom w:val="0"/>
      <w:divBdr>
        <w:top w:val="none" w:sz="0" w:space="0" w:color="auto"/>
        <w:left w:val="none" w:sz="0" w:space="0" w:color="auto"/>
        <w:bottom w:val="none" w:sz="0" w:space="0" w:color="auto"/>
        <w:right w:val="none" w:sz="0" w:space="0" w:color="auto"/>
      </w:divBdr>
    </w:div>
    <w:div w:id="271403067">
      <w:bodyDiv w:val="1"/>
      <w:marLeft w:val="0"/>
      <w:marRight w:val="0"/>
      <w:marTop w:val="0"/>
      <w:marBottom w:val="0"/>
      <w:divBdr>
        <w:top w:val="none" w:sz="0" w:space="0" w:color="auto"/>
        <w:left w:val="none" w:sz="0" w:space="0" w:color="auto"/>
        <w:bottom w:val="none" w:sz="0" w:space="0" w:color="auto"/>
        <w:right w:val="none" w:sz="0" w:space="0" w:color="auto"/>
      </w:divBdr>
    </w:div>
    <w:div w:id="468061739">
      <w:bodyDiv w:val="1"/>
      <w:marLeft w:val="0"/>
      <w:marRight w:val="0"/>
      <w:marTop w:val="0"/>
      <w:marBottom w:val="0"/>
      <w:divBdr>
        <w:top w:val="none" w:sz="0" w:space="0" w:color="auto"/>
        <w:left w:val="none" w:sz="0" w:space="0" w:color="auto"/>
        <w:bottom w:val="none" w:sz="0" w:space="0" w:color="auto"/>
        <w:right w:val="none" w:sz="0" w:space="0" w:color="auto"/>
      </w:divBdr>
    </w:div>
    <w:div w:id="534387879">
      <w:bodyDiv w:val="1"/>
      <w:marLeft w:val="0"/>
      <w:marRight w:val="0"/>
      <w:marTop w:val="0"/>
      <w:marBottom w:val="0"/>
      <w:divBdr>
        <w:top w:val="none" w:sz="0" w:space="0" w:color="auto"/>
        <w:left w:val="none" w:sz="0" w:space="0" w:color="auto"/>
        <w:bottom w:val="none" w:sz="0" w:space="0" w:color="auto"/>
        <w:right w:val="none" w:sz="0" w:space="0" w:color="auto"/>
      </w:divBdr>
    </w:div>
    <w:div w:id="1143036715">
      <w:bodyDiv w:val="1"/>
      <w:marLeft w:val="0"/>
      <w:marRight w:val="0"/>
      <w:marTop w:val="0"/>
      <w:marBottom w:val="0"/>
      <w:divBdr>
        <w:top w:val="none" w:sz="0" w:space="0" w:color="auto"/>
        <w:left w:val="none" w:sz="0" w:space="0" w:color="auto"/>
        <w:bottom w:val="none" w:sz="0" w:space="0" w:color="auto"/>
        <w:right w:val="none" w:sz="0" w:space="0" w:color="auto"/>
      </w:divBdr>
    </w:div>
    <w:div w:id="1212113434">
      <w:bodyDiv w:val="1"/>
      <w:marLeft w:val="0"/>
      <w:marRight w:val="0"/>
      <w:marTop w:val="0"/>
      <w:marBottom w:val="0"/>
      <w:divBdr>
        <w:top w:val="none" w:sz="0" w:space="0" w:color="auto"/>
        <w:left w:val="none" w:sz="0" w:space="0" w:color="auto"/>
        <w:bottom w:val="none" w:sz="0" w:space="0" w:color="auto"/>
        <w:right w:val="none" w:sz="0" w:space="0" w:color="auto"/>
      </w:divBdr>
    </w:div>
    <w:div w:id="1230968893">
      <w:bodyDiv w:val="1"/>
      <w:marLeft w:val="0"/>
      <w:marRight w:val="0"/>
      <w:marTop w:val="0"/>
      <w:marBottom w:val="0"/>
      <w:divBdr>
        <w:top w:val="none" w:sz="0" w:space="0" w:color="auto"/>
        <w:left w:val="none" w:sz="0" w:space="0" w:color="auto"/>
        <w:bottom w:val="none" w:sz="0" w:space="0" w:color="auto"/>
        <w:right w:val="none" w:sz="0" w:space="0" w:color="auto"/>
      </w:divBdr>
    </w:div>
    <w:div w:id="1263368944">
      <w:bodyDiv w:val="1"/>
      <w:marLeft w:val="0"/>
      <w:marRight w:val="0"/>
      <w:marTop w:val="0"/>
      <w:marBottom w:val="0"/>
      <w:divBdr>
        <w:top w:val="none" w:sz="0" w:space="0" w:color="auto"/>
        <w:left w:val="none" w:sz="0" w:space="0" w:color="auto"/>
        <w:bottom w:val="none" w:sz="0" w:space="0" w:color="auto"/>
        <w:right w:val="none" w:sz="0" w:space="0" w:color="auto"/>
      </w:divBdr>
    </w:div>
    <w:div w:id="1477183529">
      <w:bodyDiv w:val="1"/>
      <w:marLeft w:val="0"/>
      <w:marRight w:val="0"/>
      <w:marTop w:val="0"/>
      <w:marBottom w:val="0"/>
      <w:divBdr>
        <w:top w:val="none" w:sz="0" w:space="0" w:color="auto"/>
        <w:left w:val="none" w:sz="0" w:space="0" w:color="auto"/>
        <w:bottom w:val="none" w:sz="0" w:space="0" w:color="auto"/>
        <w:right w:val="none" w:sz="0" w:space="0" w:color="auto"/>
      </w:divBdr>
    </w:div>
    <w:div w:id="1679388382">
      <w:bodyDiv w:val="1"/>
      <w:marLeft w:val="0"/>
      <w:marRight w:val="0"/>
      <w:marTop w:val="0"/>
      <w:marBottom w:val="0"/>
      <w:divBdr>
        <w:top w:val="none" w:sz="0" w:space="0" w:color="auto"/>
        <w:left w:val="none" w:sz="0" w:space="0" w:color="auto"/>
        <w:bottom w:val="none" w:sz="0" w:space="0" w:color="auto"/>
        <w:right w:val="none" w:sz="0" w:space="0" w:color="auto"/>
      </w:divBdr>
    </w:div>
    <w:div w:id="1749034499">
      <w:bodyDiv w:val="1"/>
      <w:marLeft w:val="0"/>
      <w:marRight w:val="0"/>
      <w:marTop w:val="0"/>
      <w:marBottom w:val="0"/>
      <w:divBdr>
        <w:top w:val="none" w:sz="0" w:space="0" w:color="auto"/>
        <w:left w:val="none" w:sz="0" w:space="0" w:color="auto"/>
        <w:bottom w:val="none" w:sz="0" w:space="0" w:color="auto"/>
        <w:right w:val="none" w:sz="0" w:space="0" w:color="auto"/>
      </w:divBdr>
    </w:div>
    <w:div w:id="1980261588">
      <w:bodyDiv w:val="1"/>
      <w:marLeft w:val="0"/>
      <w:marRight w:val="0"/>
      <w:marTop w:val="0"/>
      <w:marBottom w:val="0"/>
      <w:divBdr>
        <w:top w:val="none" w:sz="0" w:space="0" w:color="auto"/>
        <w:left w:val="none" w:sz="0" w:space="0" w:color="auto"/>
        <w:bottom w:val="none" w:sz="0" w:space="0" w:color="auto"/>
        <w:right w:val="none" w:sz="0" w:space="0" w:color="auto"/>
      </w:divBdr>
    </w:div>
    <w:div w:id="20179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tbinternet.ohchr.org/_layouts/treatybodyexternal/Download.aspx?symbolno=CRPD/C/GC/2&amp;Lang=en" TargetMode="External"/><Relationship Id="rId13" Type="http://schemas.openxmlformats.org/officeDocument/2006/relationships/hyperlink" Target="https://www.age-platform.eu/policy-work/news/extending-reasonable-accommodation-older-people" TargetMode="External"/><Relationship Id="rId18" Type="http://schemas.openxmlformats.org/officeDocument/2006/relationships/hyperlink" Target="https://www.equalityhumanrights.com/en/publication-download/housing-and-disabled-people-britains-hidden-crisis" TargetMode="External"/><Relationship Id="rId26" Type="http://schemas.openxmlformats.org/officeDocument/2006/relationships/hyperlink" Target="https://www.mariecurie.org.uk/globalassets/media/documents/policy/campaigns/equity-palliative-care-uk-report-full-lse.pdf" TargetMode="External"/><Relationship Id="rId3" Type="http://schemas.openxmlformats.org/officeDocument/2006/relationships/hyperlink" Target="https://social.un.org/ageing-working-group/documents/OHCHRAnalyticalOutcomePaperonOldePersonsAugust2012.doc" TargetMode="External"/><Relationship Id="rId21" Type="http://schemas.openxmlformats.org/officeDocument/2006/relationships/hyperlink" Target="https://www.fca.org.uk/publication/occasional-papers/occasional-paper-17.pdf" TargetMode="External"/><Relationship Id="rId34" Type="http://schemas.openxmlformats.org/officeDocument/2006/relationships/hyperlink" Target="https://www.jpsmjournal.com/article/S0885-3924(17)30371-8/pdf" TargetMode="External"/><Relationship Id="rId7" Type="http://schemas.openxmlformats.org/officeDocument/2006/relationships/hyperlink" Target="https://tbinternet.ohchr.org/_layouts/treatybodyexternal/Download.aspx?symbolno=CRPD/C/GC/5&amp;Lang=en" TargetMode="External"/><Relationship Id="rId12" Type="http://schemas.openxmlformats.org/officeDocument/2006/relationships/hyperlink" Target="https://social.un.org/ageing-working-group/documents/OHCHRAnalyticalOutcomePaperonOldePersonsAugust2012.doc" TargetMode="External"/><Relationship Id="rId17" Type="http://schemas.openxmlformats.org/officeDocument/2006/relationships/hyperlink" Target="https://www.equalityhumanrights.com/en/publication-download/britain-fairer-2018" TargetMode="External"/><Relationship Id="rId25" Type="http://schemas.openxmlformats.org/officeDocument/2006/relationships/hyperlink" Target="https://www.who.int/cancer/palliative/definition/en/" TargetMode="External"/><Relationship Id="rId33" Type="http://schemas.openxmlformats.org/officeDocument/2006/relationships/hyperlink" Target="https://bmjopen.bmj.com/content/6/9/e009882" TargetMode="External"/><Relationship Id="rId2" Type="http://schemas.openxmlformats.org/officeDocument/2006/relationships/hyperlink" Target="https://www.ohchr.org/en/professionalinterest/pages/vienna.aspx" TargetMode="External"/><Relationship Id="rId16" Type="http://schemas.openxmlformats.org/officeDocument/2006/relationships/hyperlink" Target="https://publications.parliament.uk/pa/cm201719/cmselect/cmwomeq/359/359.pdf" TargetMode="External"/><Relationship Id="rId20" Type="http://schemas.openxmlformats.org/officeDocument/2006/relationships/hyperlink" Target="https://www.equalityhumanrights.com/en/advice-and-guidance/equality-law-banks-and-other-financial-services-providers" TargetMode="External"/><Relationship Id="rId29" Type="http://schemas.openxmlformats.org/officeDocument/2006/relationships/hyperlink" Target="https://www.kingsfund.org.uk/publications/social-care-older-people" TargetMode="External"/><Relationship Id="rId1" Type="http://schemas.openxmlformats.org/officeDocument/2006/relationships/hyperlink" Target="https://www.equalityhumanrights.com/en" TargetMode="External"/><Relationship Id="rId6" Type="http://schemas.openxmlformats.org/officeDocument/2006/relationships/hyperlink" Target="https://tbinternet.ohchr.org/_layouts/treatybodyexternal/Download.aspx?symbolno=CRPD/C/GC/7&amp;Lang=en" TargetMode="External"/><Relationship Id="rId11" Type="http://schemas.openxmlformats.org/officeDocument/2006/relationships/hyperlink" Target="https://www.equalityhumanrights.com/en/inquiries-and-investigations/inquiry-home-care-older-people/download-home-care-report" TargetMode="External"/><Relationship Id="rId24" Type="http://schemas.openxmlformats.org/officeDocument/2006/relationships/hyperlink" Target="https://www2.ohchr.org/english/bodies/hrcouncil/docs/10session/A.HRC.10.44AEV.pdf" TargetMode="External"/><Relationship Id="rId32" Type="http://schemas.openxmlformats.org/officeDocument/2006/relationships/hyperlink" Target="https://www.cqc.org.uk/publications/major-report/state-adult-social-care-services-2014-2017" TargetMode="External"/><Relationship Id="rId37" Type="http://schemas.openxmlformats.org/officeDocument/2006/relationships/hyperlink" Target="http://www.ennhri.org/IMG/pdf/ennhri_hr_op_web.pdf" TargetMode="External"/><Relationship Id="rId5" Type="http://schemas.openxmlformats.org/officeDocument/2006/relationships/hyperlink" Target="https://www.equalityhumanrights.com/en/inquiries-and-investigations/inquiry-home-care-older-people/download-home-care-report" TargetMode="External"/><Relationship Id="rId15" Type="http://schemas.openxmlformats.org/officeDocument/2006/relationships/hyperlink" Target="https://www.rsph.org.uk/uploads/assets/uploaded/010d3159-0d36-4707-aee54e29047c8e3a.pdf" TargetMode="External"/><Relationship Id="rId23" Type="http://schemas.openxmlformats.org/officeDocument/2006/relationships/hyperlink" Target="https://tbinternet.ohchr.org/_layouts/treatybodyexternal/Download.aspx?symbolno=E%2fC.12%2f2000%2f4&amp;Lang=en" TargetMode="External"/><Relationship Id="rId28" Type="http://schemas.openxmlformats.org/officeDocument/2006/relationships/hyperlink" Target="https://www.bgs.org.uk/blog/palliative-care-for-frail-older-people-what-when-and-how" TargetMode="External"/><Relationship Id="rId36" Type="http://schemas.openxmlformats.org/officeDocument/2006/relationships/hyperlink" Target="https://www.ohchr.org/EN/HRBodies/HRC/RegularSessions/Session30/Documents/A_HRC_30_43_ENG.docx" TargetMode="External"/><Relationship Id="rId10" Type="http://schemas.openxmlformats.org/officeDocument/2006/relationships/hyperlink" Target="https://www.ohchr.org/Documents/HRBodies/CRPD/GC/GuidelinesArticle14.doc" TargetMode="External"/><Relationship Id="rId19" Type="http://schemas.openxmlformats.org/officeDocument/2006/relationships/hyperlink" Target="https://www.ageuk.org.uk/globalassets/age-uk/documents/reports-and-publications/appg/appg_ageingandolderpeople_humanrights_jun18.pdf" TargetMode="External"/><Relationship Id="rId31" Type="http://schemas.openxmlformats.org/officeDocument/2006/relationships/hyperlink" Target="https://www.equalityhumanrights.com/en/publication-download/close-home-inquiry-older-people-and-human-rights-home-care" TargetMode="External"/><Relationship Id="rId4" Type="http://schemas.openxmlformats.org/officeDocument/2006/relationships/hyperlink" Target="http://tbinternet.ohchr.org/_layouts/treatybodyexternal/Download.aspx?symbolno=CRPD/C/GC/1&amp;Lang=en" TargetMode="External"/><Relationship Id="rId9" Type="http://schemas.openxmlformats.org/officeDocument/2006/relationships/hyperlink" Target="https://tbinternet.ohchr.org/_layouts/treatybodyexternal/Download.aspx?symbolno=CRPD/C/GC/6&amp;Lang=en" TargetMode="External"/><Relationship Id="rId14" Type="http://schemas.openxmlformats.org/officeDocument/2006/relationships/hyperlink" Target="https://www.ageuk.org.uk/globalassets/age-uk/documents/policy-positions/cross-cutting-issues/ageism-and-age-equality-pp-great-britain-august-2018.pdf" TargetMode="External"/><Relationship Id="rId22" Type="http://schemas.openxmlformats.org/officeDocument/2006/relationships/hyperlink" Target="https://www.financial-ombudsman.org.uk/publications/policy-statements/age-insight-briefing-2015.pdf" TargetMode="External"/><Relationship Id="rId27" Type="http://schemas.openxmlformats.org/officeDocument/2006/relationships/hyperlink" Target="http://www.clinmed.rcpjournal.org/content/14/3/292.full" TargetMode="External"/><Relationship Id="rId30" Type="http://schemas.openxmlformats.org/officeDocument/2006/relationships/hyperlink" Target="https://www.ageuk.org.uk/globalassets/age-uk/documents/reports-and-publications/reports-and-briefings/care--support/RB_mar18_social_care_campaignreport.pdf" TargetMode="External"/><Relationship Id="rId35" Type="http://schemas.openxmlformats.org/officeDocument/2006/relationships/hyperlink" Target="https://www.opensocietyfoundations.org/sites/default/files/palliative-care-human-right-fact-sheet-201602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0264-8367-46F8-90C0-6537B16E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Fox</dc:creator>
  <cp:keywords/>
  <dc:description/>
  <cp:lastModifiedBy>Rachel Fox</cp:lastModifiedBy>
  <cp:revision>65</cp:revision>
  <cp:lastPrinted>2019-02-01T12:38:00Z</cp:lastPrinted>
  <dcterms:created xsi:type="dcterms:W3CDTF">2019-02-01T11:39:00Z</dcterms:created>
  <dcterms:modified xsi:type="dcterms:W3CDTF">2019-02-01T12:57:00Z</dcterms:modified>
</cp:coreProperties>
</file>